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18" w:lineRule="exact"/>
        <w:textAlignment w:val="baseline"/>
        <w:rPr>
          <w:rFonts w:hint="eastAsia" w:ascii="黑体" w:hAnsi="黑体" w:eastAsia="黑体" w:cs="仿宋"/>
          <w:color w:val="000000"/>
          <w:sz w:val="32"/>
          <w:szCs w:val="32"/>
        </w:rPr>
      </w:pPr>
      <w:r>
        <w:rPr>
          <w:rFonts w:hint="eastAsia" w:ascii="黑体" w:hAnsi="黑体" w:eastAsia="黑体" w:cs="仿宋"/>
          <w:color w:val="000000"/>
          <w:sz w:val="32"/>
          <w:szCs w:val="32"/>
        </w:rPr>
        <w:t>附件1</w:t>
      </w:r>
    </w:p>
    <w:p>
      <w:pPr>
        <w:snapToGrid w:val="0"/>
        <w:spacing w:line="518" w:lineRule="exact"/>
        <w:jc w:val="center"/>
        <w:textAlignment w:val="baseline"/>
        <w:rPr>
          <w:rFonts w:hint="eastAsia" w:ascii="方正小标宋简体" w:hAnsi="黑体" w:eastAsia="方正小标宋简体" w:cs="黑体"/>
          <w:bCs/>
          <w:color w:val="000000"/>
          <w:spacing w:val="-4"/>
          <w:sz w:val="44"/>
          <w:szCs w:val="44"/>
        </w:rPr>
      </w:pPr>
      <w:r>
        <w:rPr>
          <w:rFonts w:hint="eastAsia" w:ascii="方正小标宋简体" w:hAnsi="黑体" w:eastAsia="方正小标宋简体" w:cs="黑体"/>
          <w:bCs/>
          <w:color w:val="000000"/>
          <w:spacing w:val="-4"/>
          <w:sz w:val="44"/>
          <w:szCs w:val="44"/>
        </w:rPr>
        <w:t>工作目标任务一览表</w:t>
      </w:r>
    </w:p>
    <w:tbl>
      <w:tblPr>
        <w:tblStyle w:val="5"/>
        <w:tblW w:w="9312" w:type="dxa"/>
        <w:tblInd w:w="0" w:type="dxa"/>
        <w:tblLayout w:type="fixed"/>
        <w:tblCellMar>
          <w:top w:w="15" w:type="dxa"/>
          <w:left w:w="15" w:type="dxa"/>
          <w:bottom w:w="15" w:type="dxa"/>
          <w:right w:w="15" w:type="dxa"/>
        </w:tblCellMar>
      </w:tblPr>
      <w:tblGrid>
        <w:gridCol w:w="3077"/>
        <w:gridCol w:w="2335"/>
        <w:gridCol w:w="3900"/>
      </w:tblGrid>
      <w:tr>
        <w:tblPrEx>
          <w:tblLayout w:type="fixed"/>
          <w:tblCellMar>
            <w:top w:w="15" w:type="dxa"/>
            <w:left w:w="15" w:type="dxa"/>
            <w:bottom w:w="15" w:type="dxa"/>
            <w:right w:w="15" w:type="dxa"/>
          </w:tblCellMar>
        </w:tblPrEx>
        <w:trPr>
          <w:trHeight w:val="598" w:hRule="atLeast"/>
        </w:trPr>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kern w:val="0"/>
                <w:sz w:val="32"/>
                <w:szCs w:val="32"/>
                <w:lang w:bidi="ar"/>
              </w:rPr>
              <w:t>目标类别</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kern w:val="0"/>
                <w:sz w:val="32"/>
                <w:szCs w:val="32"/>
                <w:lang w:bidi="ar"/>
              </w:rPr>
              <w:t>具体目标</w:t>
            </w:r>
          </w:p>
        </w:tc>
      </w:tr>
      <w:tr>
        <w:tblPrEx>
          <w:tblLayout w:type="fixed"/>
          <w:tblCellMar>
            <w:top w:w="15" w:type="dxa"/>
            <w:left w:w="15" w:type="dxa"/>
            <w:bottom w:w="15" w:type="dxa"/>
            <w:right w:w="15" w:type="dxa"/>
          </w:tblCellMar>
        </w:tblPrEx>
        <w:trPr>
          <w:trHeight w:val="59" w:hRule="atLeast"/>
        </w:trPr>
        <w:tc>
          <w:tcPr>
            <w:tcW w:w="30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一、服务站点建设</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1.镇村电商服务站点对全县行政村的覆盖率：</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20%以上</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30%以上</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50%以上</w:t>
            </w:r>
          </w:p>
        </w:tc>
      </w:tr>
      <w:tr>
        <w:tblPrEx>
          <w:tblLayout w:type="fixed"/>
          <w:tblCellMar>
            <w:top w:w="15" w:type="dxa"/>
            <w:left w:w="15" w:type="dxa"/>
            <w:bottom w:w="15" w:type="dxa"/>
            <w:right w:w="15" w:type="dxa"/>
          </w:tblCellMar>
        </w:tblPrEx>
        <w:trPr>
          <w:trHeight w:val="5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2.每个网点平均每年为村民提供电商交易服务总金额：</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 万元以上</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 万元以上</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 万元以上</w:t>
            </w:r>
          </w:p>
        </w:tc>
      </w:tr>
      <w:tr>
        <w:tblPrEx>
          <w:tblLayout w:type="fixed"/>
          <w:tblCellMar>
            <w:top w:w="15" w:type="dxa"/>
            <w:left w:w="15" w:type="dxa"/>
            <w:bottom w:w="15" w:type="dxa"/>
            <w:right w:w="15" w:type="dxa"/>
          </w:tblCellMar>
        </w:tblPrEx>
        <w:trPr>
          <w:trHeight w:val="707" w:hRule="atLeast"/>
        </w:trPr>
        <w:tc>
          <w:tcPr>
            <w:tcW w:w="30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二、农村物流建设</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 对全县行政村物流配送覆盖率：</w:t>
            </w:r>
          </w:p>
        </w:tc>
      </w:tr>
      <w:tr>
        <w:tblPrEx>
          <w:tblLayout w:type="fixed"/>
          <w:tblCellMar>
            <w:top w:w="15" w:type="dxa"/>
            <w:left w:w="15" w:type="dxa"/>
            <w:bottom w:w="15" w:type="dxa"/>
            <w:right w:w="15" w:type="dxa"/>
          </w:tblCellMar>
        </w:tblPrEx>
        <w:trPr>
          <w:trHeight w:val="157"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三年</w:t>
            </w:r>
          </w:p>
        </w:tc>
        <w:tc>
          <w:tcPr>
            <w:tcW w:w="3900" w:type="dxa"/>
            <w:tcBorders>
              <w:top w:val="single" w:color="000000" w:sz="4" w:space="0"/>
              <w:left w:val="single" w:color="000000" w:sz="4" w:space="0"/>
              <w:right w:val="single" w:color="000000" w:sz="4" w:space="0"/>
            </w:tcBorders>
            <w:vAlign w:val="center"/>
          </w:tcPr>
          <w:p>
            <w:pPr>
              <w:spacing w:line="470" w:lineRule="exact"/>
              <w:jc w:val="center"/>
              <w:textAlignment w:val="center"/>
              <w:rPr>
                <w:rFonts w:hint="eastAsia" w:ascii="仿宋" w:hAnsi="仿宋" w:eastAsia="仿宋" w:cs="仿宋"/>
                <w:color w:val="000000"/>
                <w:szCs w:val="21"/>
              </w:rPr>
            </w:pPr>
          </w:p>
          <w:p>
            <w:pPr>
              <w:spacing w:line="47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关一、旱坝、贾营、青龙、油坊、太山、长坪、中华、双建、龙凤、永红、棋盘、莲花；广货街、沙沟、元谭、江镇、新庄、沙坪、竹山、黄金、旬河、小川、月河、大茨沟、旬阳坝、寨沟、老城；南京坪、许家城、安坪、四亩地、柴家关、太山坝</w:t>
            </w:r>
          </w:p>
          <w:p>
            <w:pPr>
              <w:spacing w:line="470" w:lineRule="exact"/>
              <w:jc w:val="center"/>
              <w:textAlignment w:val="center"/>
              <w:rPr>
                <w:rFonts w:hint="eastAsia" w:ascii="仿宋" w:hAnsi="仿宋" w:eastAsia="仿宋" w:cs="仿宋"/>
                <w:color w:val="000000"/>
                <w:sz w:val="24"/>
              </w:rPr>
            </w:pPr>
          </w:p>
        </w:tc>
      </w:tr>
      <w:tr>
        <w:tblPrEx>
          <w:tblLayout w:type="fixed"/>
          <w:tblCellMar>
            <w:top w:w="15" w:type="dxa"/>
            <w:left w:w="15" w:type="dxa"/>
            <w:bottom w:w="15" w:type="dxa"/>
            <w:right w:w="15" w:type="dxa"/>
          </w:tblCellMar>
        </w:tblPrEx>
        <w:trPr>
          <w:trHeight w:val="46"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 从县级运营中心到镇村网点的物流配送频率：</w:t>
            </w:r>
          </w:p>
        </w:tc>
      </w:tr>
      <w:tr>
        <w:tblPrEx>
          <w:tblLayout w:type="fixed"/>
          <w:tblCellMar>
            <w:top w:w="15" w:type="dxa"/>
            <w:left w:w="15" w:type="dxa"/>
            <w:bottom w:w="15" w:type="dxa"/>
            <w:right w:w="15" w:type="dxa"/>
          </w:tblCellMar>
        </w:tblPrEx>
        <w:trPr>
          <w:trHeight w:val="50"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每三日一次</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每两日一次</w:t>
            </w:r>
          </w:p>
        </w:tc>
      </w:tr>
      <w:tr>
        <w:tblPrEx>
          <w:tblLayout w:type="fixed"/>
          <w:tblCellMar>
            <w:top w:w="15" w:type="dxa"/>
            <w:left w:w="15" w:type="dxa"/>
            <w:bottom w:w="15" w:type="dxa"/>
            <w:right w:w="15" w:type="dxa"/>
          </w:tblCellMar>
        </w:tblPrEx>
        <w:trPr>
          <w:trHeight w:val="40"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每日一次</w:t>
            </w:r>
          </w:p>
        </w:tc>
      </w:tr>
      <w:tr>
        <w:tblPrEx>
          <w:tblLayout w:type="fixed"/>
          <w:tblCellMar>
            <w:top w:w="15" w:type="dxa"/>
            <w:left w:w="15" w:type="dxa"/>
            <w:bottom w:w="15" w:type="dxa"/>
            <w:right w:w="15" w:type="dxa"/>
          </w:tblCellMar>
        </w:tblPrEx>
        <w:trPr>
          <w:trHeight w:val="59" w:hRule="atLeast"/>
        </w:trPr>
        <w:tc>
          <w:tcPr>
            <w:tcW w:w="30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三、人员培训体</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1.培训人次：</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1500人次</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3000人次</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 人次</w:t>
            </w:r>
          </w:p>
        </w:tc>
      </w:tr>
      <w:tr>
        <w:tblPrEx>
          <w:tblLayout w:type="fixed"/>
          <w:tblCellMar>
            <w:top w:w="15" w:type="dxa"/>
            <w:left w:w="15" w:type="dxa"/>
            <w:bottom w:w="15" w:type="dxa"/>
            <w:right w:w="15" w:type="dxa"/>
          </w:tblCellMar>
        </w:tblPrEx>
        <w:trPr>
          <w:trHeight w:val="5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2.培训对象满意率：</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85%以上</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90%以上</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95%以上</w:t>
            </w:r>
          </w:p>
        </w:tc>
      </w:tr>
      <w:tr>
        <w:tblPrEx>
          <w:tblLayout w:type="fixed"/>
          <w:tblCellMar>
            <w:top w:w="15" w:type="dxa"/>
            <w:left w:w="15" w:type="dxa"/>
            <w:bottom w:w="15" w:type="dxa"/>
            <w:right w:w="15" w:type="dxa"/>
          </w:tblCellMar>
        </w:tblPrEx>
        <w:trPr>
          <w:trHeight w:val="59" w:hRule="atLeast"/>
        </w:trPr>
        <w:tc>
          <w:tcPr>
            <w:tcW w:w="30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四、网货质量标准</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网货SC认证数量：</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5种以上</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10种以上</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15种以上</w:t>
            </w:r>
          </w:p>
        </w:tc>
      </w:tr>
      <w:tr>
        <w:tblPrEx>
          <w:tblLayout w:type="fixed"/>
          <w:tblCellMar>
            <w:top w:w="15" w:type="dxa"/>
            <w:left w:w="15" w:type="dxa"/>
            <w:bottom w:w="15" w:type="dxa"/>
            <w:right w:w="15" w:type="dxa"/>
          </w:tblCellMar>
        </w:tblPrEx>
        <w:trPr>
          <w:trHeight w:val="59" w:hRule="atLeast"/>
        </w:trPr>
        <w:tc>
          <w:tcPr>
            <w:tcW w:w="30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五、农产品溯源</w:t>
            </w:r>
          </w:p>
        </w:tc>
        <w:tc>
          <w:tcPr>
            <w:tcW w:w="6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农产品溯源体系企业使用普及率：</w:t>
            </w:r>
          </w:p>
        </w:tc>
      </w:tr>
      <w:tr>
        <w:tblPrEx>
          <w:tblLayout w:type="fixed"/>
          <w:tblCellMar>
            <w:top w:w="15" w:type="dxa"/>
            <w:left w:w="15" w:type="dxa"/>
            <w:bottom w:w="15" w:type="dxa"/>
            <w:right w:w="15" w:type="dxa"/>
          </w:tblCellMar>
        </w:tblPrEx>
        <w:trPr>
          <w:trHeight w:val="4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第一年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sz w:val="24"/>
              </w:rPr>
            </w:pPr>
            <w:r>
              <w:rPr>
                <w:rFonts w:hint="eastAsia" w:ascii="仿宋" w:hAnsi="仿宋" w:eastAsia="仿宋" w:cs="仿宋"/>
                <w:kern w:val="0"/>
                <w:sz w:val="24"/>
                <w:lang w:bidi="ar"/>
              </w:rPr>
              <w:t>长春酒厂、秦南</w:t>
            </w:r>
          </w:p>
        </w:tc>
      </w:tr>
      <w:tr>
        <w:tblPrEx>
          <w:tblLayout w:type="fixed"/>
          <w:tblCellMar>
            <w:top w:w="15" w:type="dxa"/>
            <w:left w:w="15" w:type="dxa"/>
            <w:bottom w:w="15" w:type="dxa"/>
            <w:right w:w="15" w:type="dxa"/>
          </w:tblCellMar>
        </w:tblPrEx>
        <w:trPr>
          <w:trHeight w:val="49"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第二年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sz w:val="24"/>
              </w:rPr>
            </w:pPr>
            <w:r>
              <w:rPr>
                <w:rFonts w:hint="eastAsia" w:ascii="仿宋" w:hAnsi="仿宋" w:eastAsia="仿宋" w:cs="仿宋"/>
                <w:kern w:val="0"/>
                <w:sz w:val="24"/>
                <w:lang w:bidi="ar"/>
              </w:rPr>
              <w:t>长春酒厂、秦南、秦宝</w:t>
            </w:r>
          </w:p>
        </w:tc>
      </w:tr>
      <w:tr>
        <w:tblPrEx>
          <w:tblLayout w:type="fixed"/>
          <w:tblCellMar>
            <w:top w:w="15" w:type="dxa"/>
            <w:left w:w="15" w:type="dxa"/>
            <w:bottom w:w="15" w:type="dxa"/>
            <w:right w:w="15" w:type="dxa"/>
          </w:tblCellMar>
        </w:tblPrEx>
        <w:trPr>
          <w:trHeight w:val="38" w:hRule="atLeast"/>
        </w:trPr>
        <w:tc>
          <w:tcPr>
            <w:tcW w:w="3077" w:type="dxa"/>
            <w:vMerge w:val="continue"/>
            <w:tcBorders>
              <w:top w:val="single" w:color="000000" w:sz="4" w:space="0"/>
              <w:left w:val="single" w:color="000000" w:sz="4" w:space="0"/>
              <w:bottom w:val="single" w:color="000000" w:sz="4" w:space="0"/>
              <w:right w:val="single" w:color="000000" w:sz="4" w:space="0"/>
            </w:tcBorders>
            <w:vAlign w:val="center"/>
          </w:tcPr>
          <w:p>
            <w:pPr>
              <w:spacing w:line="470" w:lineRule="exact"/>
              <w:jc w:val="center"/>
              <w:rPr>
                <w:rFonts w:hint="eastAsia" w:ascii="仿宋" w:hAnsi="仿宋" w:eastAsia="仿宋" w:cs="仿宋"/>
                <w:color w:val="000000"/>
                <w:sz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第三年</w:t>
            </w:r>
          </w:p>
        </w:tc>
        <w:tc>
          <w:tcPr>
            <w:tcW w:w="3900" w:type="dxa"/>
            <w:tcBorders>
              <w:top w:val="single" w:color="000000" w:sz="4" w:space="0"/>
              <w:left w:val="single" w:color="000000" w:sz="4" w:space="0"/>
              <w:bottom w:val="single" w:color="000000" w:sz="4" w:space="0"/>
              <w:right w:val="single" w:color="000000" w:sz="4" w:space="0"/>
            </w:tcBorders>
            <w:vAlign w:val="center"/>
          </w:tcPr>
          <w:p>
            <w:pPr>
              <w:widowControl/>
              <w:spacing w:line="470" w:lineRule="exact"/>
              <w:jc w:val="center"/>
              <w:textAlignment w:val="center"/>
              <w:rPr>
                <w:rFonts w:hint="eastAsia" w:ascii="仿宋" w:hAnsi="仿宋" w:eastAsia="仿宋" w:cs="仿宋"/>
                <w:sz w:val="24"/>
              </w:rPr>
            </w:pPr>
            <w:r>
              <w:rPr>
                <w:rFonts w:hint="eastAsia" w:ascii="仿宋" w:hAnsi="仿宋" w:eastAsia="仿宋" w:cs="仿宋"/>
                <w:kern w:val="0"/>
                <w:sz w:val="24"/>
                <w:lang w:bidi="ar"/>
              </w:rPr>
              <w:t>长春酒厂、秦南、秦宝、滨海、绿宝</w:t>
            </w:r>
          </w:p>
        </w:tc>
      </w:tr>
    </w:tbl>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sectPr>
          <w:footerReference r:id="rId3" w:type="default"/>
          <w:footerReference r:id="rId4" w:type="even"/>
          <w:pgSz w:w="11907" w:h="16840"/>
          <w:pgMar w:top="2098" w:right="1474" w:bottom="1985" w:left="1588" w:header="851" w:footer="1134" w:gutter="0"/>
          <w:cols w:space="720" w:num="1"/>
          <w:docGrid w:linePitch="312" w:charSpace="0"/>
        </w:sectPr>
      </w:pPr>
    </w:p>
    <w:tbl>
      <w:tblPr>
        <w:tblStyle w:val="5"/>
        <w:tblW w:w="14936" w:type="dxa"/>
        <w:tblInd w:w="-631" w:type="dxa"/>
        <w:tblLayout w:type="fixed"/>
        <w:tblCellMar>
          <w:top w:w="15" w:type="dxa"/>
          <w:left w:w="108" w:type="dxa"/>
          <w:bottom w:w="15" w:type="dxa"/>
          <w:right w:w="108" w:type="dxa"/>
        </w:tblCellMar>
      </w:tblPr>
      <w:tblGrid>
        <w:gridCol w:w="631"/>
        <w:gridCol w:w="766"/>
        <w:gridCol w:w="391"/>
        <w:gridCol w:w="1156"/>
        <w:gridCol w:w="191"/>
        <w:gridCol w:w="4026"/>
        <w:gridCol w:w="945"/>
        <w:gridCol w:w="819"/>
        <w:gridCol w:w="530"/>
        <w:gridCol w:w="546"/>
        <w:gridCol w:w="945"/>
        <w:gridCol w:w="202"/>
        <w:gridCol w:w="1163"/>
        <w:gridCol w:w="102"/>
        <w:gridCol w:w="1263"/>
        <w:gridCol w:w="1260"/>
      </w:tblGrid>
      <w:tr>
        <w:tblPrEx>
          <w:tblLayout w:type="fixed"/>
          <w:tblCellMar>
            <w:top w:w="15" w:type="dxa"/>
            <w:left w:w="108" w:type="dxa"/>
            <w:bottom w:w="15" w:type="dxa"/>
            <w:right w:w="108" w:type="dxa"/>
          </w:tblCellMar>
        </w:tblPrEx>
        <w:trPr>
          <w:trHeight w:val="127" w:hRule="atLeast"/>
        </w:trPr>
        <w:tc>
          <w:tcPr>
            <w:tcW w:w="1397" w:type="dxa"/>
            <w:gridSpan w:val="2"/>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tc>
        <w:tc>
          <w:tcPr>
            <w:tcW w:w="1738" w:type="dxa"/>
            <w:gridSpan w:val="3"/>
            <w:vAlign w:val="center"/>
          </w:tcPr>
          <w:p>
            <w:pPr>
              <w:widowControl/>
              <w:jc w:val="left"/>
              <w:rPr>
                <w:rFonts w:ascii="宋体" w:hAnsi="宋体" w:cs="宋体"/>
                <w:color w:val="000000"/>
                <w:kern w:val="0"/>
                <w:sz w:val="22"/>
                <w:szCs w:val="22"/>
              </w:rPr>
            </w:pPr>
          </w:p>
        </w:tc>
        <w:tc>
          <w:tcPr>
            <w:tcW w:w="4026" w:type="dxa"/>
            <w:vAlign w:val="center"/>
          </w:tcPr>
          <w:p>
            <w:pPr>
              <w:widowControl/>
              <w:jc w:val="left"/>
              <w:rPr>
                <w:rFonts w:ascii="宋体" w:hAnsi="宋体" w:cs="宋体"/>
                <w:color w:val="000000"/>
                <w:kern w:val="0"/>
                <w:sz w:val="22"/>
                <w:szCs w:val="22"/>
              </w:rPr>
            </w:pPr>
          </w:p>
        </w:tc>
        <w:tc>
          <w:tcPr>
            <w:tcW w:w="945" w:type="dxa"/>
            <w:vAlign w:val="center"/>
          </w:tcPr>
          <w:p>
            <w:pPr>
              <w:widowControl/>
              <w:jc w:val="left"/>
              <w:rPr>
                <w:rFonts w:ascii="宋体" w:hAnsi="宋体" w:cs="宋体"/>
                <w:color w:val="000000"/>
                <w:kern w:val="0"/>
                <w:sz w:val="22"/>
                <w:szCs w:val="22"/>
              </w:rPr>
            </w:pPr>
          </w:p>
        </w:tc>
        <w:tc>
          <w:tcPr>
            <w:tcW w:w="1349" w:type="dxa"/>
            <w:gridSpan w:val="2"/>
            <w:vAlign w:val="center"/>
          </w:tcPr>
          <w:p>
            <w:pPr>
              <w:widowControl/>
              <w:jc w:val="left"/>
              <w:rPr>
                <w:rFonts w:ascii="宋体" w:hAnsi="宋体" w:cs="宋体"/>
                <w:color w:val="000000"/>
                <w:kern w:val="0"/>
                <w:sz w:val="22"/>
                <w:szCs w:val="22"/>
              </w:rPr>
            </w:pPr>
          </w:p>
        </w:tc>
        <w:tc>
          <w:tcPr>
            <w:tcW w:w="1693" w:type="dxa"/>
            <w:gridSpan w:val="3"/>
            <w:vAlign w:val="center"/>
          </w:tcPr>
          <w:p>
            <w:pPr>
              <w:widowControl/>
              <w:jc w:val="left"/>
              <w:rPr>
                <w:rFonts w:ascii="宋体" w:hAnsi="宋体" w:cs="宋体"/>
                <w:color w:val="000000"/>
                <w:kern w:val="0"/>
                <w:sz w:val="22"/>
                <w:szCs w:val="22"/>
              </w:rPr>
            </w:pPr>
          </w:p>
        </w:tc>
        <w:tc>
          <w:tcPr>
            <w:tcW w:w="1265" w:type="dxa"/>
            <w:gridSpan w:val="2"/>
            <w:vAlign w:val="center"/>
          </w:tcPr>
          <w:p>
            <w:pPr>
              <w:widowControl/>
              <w:jc w:val="left"/>
              <w:rPr>
                <w:rFonts w:ascii="宋体" w:hAnsi="宋体" w:cs="宋体"/>
                <w:color w:val="000000"/>
                <w:kern w:val="0"/>
                <w:sz w:val="22"/>
                <w:szCs w:val="22"/>
              </w:rPr>
            </w:pPr>
          </w:p>
        </w:tc>
        <w:tc>
          <w:tcPr>
            <w:tcW w:w="2523" w:type="dxa"/>
            <w:gridSpan w:val="2"/>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49" w:hRule="atLeast"/>
        </w:trPr>
        <w:tc>
          <w:tcPr>
            <w:tcW w:w="14936" w:type="dxa"/>
            <w:gridSpan w:val="16"/>
            <w:vAlign w:val="center"/>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宁陕县电子商务进农村综合示范重点工作任务资金分解表</w:t>
            </w:r>
          </w:p>
        </w:tc>
      </w:tr>
      <w:tr>
        <w:tblPrEx>
          <w:tblLayout w:type="fixed"/>
          <w:tblCellMar>
            <w:top w:w="15" w:type="dxa"/>
            <w:left w:w="108" w:type="dxa"/>
            <w:bottom w:w="15" w:type="dxa"/>
            <w:right w:w="108" w:type="dxa"/>
          </w:tblCellMar>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项目名称</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政策依据标准</w:t>
            </w:r>
          </w:p>
        </w:tc>
        <w:tc>
          <w:tcPr>
            <w:tcW w:w="598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项目建设内容</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ascii="宋体" w:hAnsi="宋体" w:cs="宋体"/>
                <w:b/>
                <w:bCs/>
                <w:color w:val="000000"/>
                <w:kern w:val="0"/>
              </w:rPr>
              <w:t xml:space="preserve">责任     单位 </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责任人</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配合单位</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项目资金（万元）</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目标任务完成时限</w:t>
            </w:r>
          </w:p>
        </w:tc>
      </w:tr>
      <w:tr>
        <w:tblPrEx>
          <w:tblLayout w:type="fixed"/>
          <w:tblCellMar>
            <w:top w:w="15" w:type="dxa"/>
            <w:left w:w="108" w:type="dxa"/>
            <w:bottom w:w="15" w:type="dxa"/>
            <w:right w:w="108" w:type="dxa"/>
          </w:tblCellMar>
        </w:tblPrEx>
        <w:trPr>
          <w:trHeight w:val="340"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Cs w:val="21"/>
              </w:rPr>
            </w:pPr>
          </w:p>
        </w:tc>
      </w:tr>
      <w:tr>
        <w:tblPrEx>
          <w:tblLayout w:type="fixed"/>
          <w:tblCellMar>
            <w:top w:w="15" w:type="dxa"/>
            <w:left w:w="108" w:type="dxa"/>
            <w:bottom w:w="15" w:type="dxa"/>
            <w:right w:w="108" w:type="dxa"/>
          </w:tblCellMar>
        </w:tblPrEx>
        <w:trPr>
          <w:trHeight w:val="1520"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建立电商主体培育体系</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b/>
                <w:bCs/>
                <w:color w:val="000000"/>
                <w:kern w:val="0"/>
                <w:szCs w:val="21"/>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支持传统百货、连锁超市等企业依托实体网点、货源、配送等商业资源开展网络零售业务，进一步发展集电子商务、电话订购、城市配送为一体的同城购物。2、领导小组成员单位发展网店任务3户，其他部门3户。各镇发展网店微店任务：城关镇30户、江口镇20户、皇冠镇20户、筒车湾镇15户，其它镇各6户。</w:t>
            </w:r>
          </w:p>
        </w:tc>
        <w:tc>
          <w:tcPr>
            <w:tcW w:w="1076" w:type="dxa"/>
            <w:gridSpan w:val="2"/>
            <w:tcBorders>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经贸局</w:t>
            </w:r>
          </w:p>
        </w:tc>
        <w:tc>
          <w:tcPr>
            <w:tcW w:w="945" w:type="dxa"/>
            <w:tcBorders>
              <w:top w:val="single" w:color="000000"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王新</w:t>
            </w:r>
          </w:p>
        </w:tc>
        <w:tc>
          <w:tcPr>
            <w:tcW w:w="1365" w:type="dxa"/>
            <w:gridSpan w:val="2"/>
            <w:tcBorders>
              <w:top w:val="single" w:color="000000" w:sz="4" w:space="0"/>
              <w:left w:val="single" w:color="000000" w:sz="4" w:space="0"/>
              <w:right w:val="single" w:color="000000" w:sz="4" w:space="0"/>
            </w:tcBorders>
            <w:vAlign w:val="center"/>
          </w:tcPr>
          <w:p>
            <w:pPr>
              <w:widowControl/>
              <w:spacing w:line="22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领导小组成员单位</w:t>
            </w:r>
          </w:p>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各镇</w:t>
            </w:r>
          </w:p>
        </w:tc>
        <w:tc>
          <w:tcPr>
            <w:tcW w:w="1365" w:type="dxa"/>
            <w:gridSpan w:val="2"/>
            <w:tcBorders>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2"/>
                <w:szCs w:val="22"/>
              </w:rPr>
            </w:pPr>
          </w:p>
        </w:tc>
        <w:tc>
          <w:tcPr>
            <w:tcW w:w="1260" w:type="dxa"/>
            <w:tcBorders>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按项目进度考核</w:t>
            </w:r>
          </w:p>
        </w:tc>
      </w:tr>
      <w:tr>
        <w:tblPrEx>
          <w:tblLayout w:type="fixed"/>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建立电商公共服务体系</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陕商发【2017】19号关于进一步做好电子商务进农村综合示范工作的通知；县服务中心15%，村镇服务站点10%，村级50%覆盖。</w:t>
            </w:r>
          </w:p>
        </w:tc>
        <w:tc>
          <w:tcPr>
            <w:tcW w:w="598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建立县电商服务中心，为网上销售宁陕特产的生产企业、专业合作社、农民等提供网站托管运营、网络营销策划、产品电商化改造、创业金融服务等公益性增值服务，组建客服、美工、运营全网推广、淘宝客、直播等周边服务商群。</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经贸局</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王新      邹天平   </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农水科技局扶贫工业园区供销联社邮政分公司    各镇</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50</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2017年12月底前完成建设运营；2018年12月底前达到2.5亿元。</w:t>
            </w:r>
          </w:p>
        </w:tc>
      </w:tr>
      <w:tr>
        <w:tblPrEx>
          <w:tblLayout w:type="fixed"/>
          <w:tblCellMar>
            <w:top w:w="15" w:type="dxa"/>
            <w:left w:w="108" w:type="dxa"/>
            <w:bottom w:w="15" w:type="dxa"/>
            <w:right w:w="108" w:type="dxa"/>
          </w:tblCellMar>
        </w:tblPrEx>
        <w:trPr>
          <w:trHeight w:val="1008"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941"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2.建立网货供应中心、物流服务中心、网商企业入驻、培训孵化、产品展示、会议洽谈一体的电商产业园区。</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2018年6月前完成。</w:t>
            </w:r>
          </w:p>
        </w:tc>
      </w:tr>
      <w:tr>
        <w:tblPrEx>
          <w:tblLayout w:type="fixed"/>
          <w:tblCellMar>
            <w:top w:w="15" w:type="dxa"/>
            <w:left w:w="108" w:type="dxa"/>
            <w:bottom w:w="15" w:type="dxa"/>
            <w:right w:w="108" w:type="dxa"/>
          </w:tblCellMar>
        </w:tblPrEx>
        <w:trPr>
          <w:trHeight w:val="583"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建立镇村级电商服务站，实现区域内的特产组织和网上销售，指导培育农民专业合作社，培训孵化电商人才，物流快递中转等功能。建立11个镇34个村的农村电子商务服务点，为村民提供生产生活资料网上代购、本地特产网上销售、金融信贷及各类便民服务。</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站点建设：2017年12月底前建20个，2018年5月底前建设24个</w:t>
            </w:r>
          </w:p>
        </w:tc>
      </w:tr>
      <w:tr>
        <w:tblPrEx>
          <w:tblLayout w:type="fixed"/>
          <w:tblCellMar>
            <w:top w:w="15" w:type="dxa"/>
            <w:left w:w="108" w:type="dxa"/>
            <w:bottom w:w="15" w:type="dxa"/>
            <w:right w:w="108" w:type="dxa"/>
          </w:tblCellMar>
        </w:tblPrEx>
        <w:trPr>
          <w:trHeight w:val="1098"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631" w:type="dxa"/>
            <w:vMerge w:val="restart"/>
            <w:tcBorders>
              <w:top w:val="single" w:color="000000"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57" w:type="dxa"/>
            <w:gridSpan w:val="2"/>
            <w:vMerge w:val="restart"/>
            <w:tcBorders>
              <w:top w:val="single" w:color="000000"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建立电商上行销售体系</w:t>
            </w:r>
          </w:p>
        </w:tc>
        <w:tc>
          <w:tcPr>
            <w:tcW w:w="1156" w:type="dxa"/>
            <w:vMerge w:val="restart"/>
            <w:tcBorders>
              <w:top w:val="single" w:color="000000" w:sz="4" w:space="0"/>
              <w:left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rPr>
              <w:t>财办建</w:t>
            </w:r>
            <w:r>
              <w:rPr>
                <w:rFonts w:ascii="宋体" w:hAnsi="宋体" w:cs="宋体"/>
                <w:color w:val="000000"/>
                <w:kern w:val="0"/>
                <w:sz w:val="20"/>
              </w:rPr>
              <w:t>【</w:t>
            </w:r>
            <w:r>
              <w:rPr>
                <w:rFonts w:ascii="仿宋_GB2312" w:hAnsi="宋体" w:eastAsia="仿宋_GB2312" w:cs="宋体"/>
                <w:color w:val="000000"/>
                <w:kern w:val="0"/>
                <w:sz w:val="20"/>
              </w:rPr>
              <w:t xml:space="preserve">2017】30号关于开展2017年电子商务进农村综合示范工作的通知；中央财政资金支持农村产品上行的比例原则上不低于50%（其中含物流资金比例不高于20%，供应链体系不高于30%资金，依据为省示范工作方案陕商函【2017】551号） </w:t>
            </w:r>
          </w:p>
        </w:tc>
        <w:tc>
          <w:tcPr>
            <w:tcW w:w="598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线上线下销售。1、主办节会，结合线上销售，集中团购。2、以“两馆、供销一家、邮乐购”为载体，集中销售展示宁陕网货。3、建立宁陕山珍为代表的全县农产品微信分销体系。4、建立县域电子支付、社区o2o区域同城配送体系。5、建立北京、西安、胶州等城市线下体验展示中心，配合线上销售开展线下业务，对接青岛福兴祥物流进入利群超市。6、依托传感器、环境监测、视频传输设备开展订单种养殖，并开展有计划的网络直播。7、支持企业开办天猫、京东旗舰店销售。8、引进3-5家农产品上行企业销售。9、组织县内景点上线国内旅游销售平台，依托景点客流结合农家民宿改造，开展携程、飞猪、途家等平台网上营销。10、组建区域日用百货家电销售平台，促进农村消费升级，提高城乡群众消费品质。</w:t>
            </w:r>
          </w:p>
        </w:tc>
        <w:tc>
          <w:tcPr>
            <w:tcW w:w="1076" w:type="dxa"/>
            <w:gridSpan w:val="2"/>
            <w:vMerge w:val="restart"/>
            <w:tcBorders>
              <w:top w:val="single" w:color="auto"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经贸局</w:t>
            </w:r>
          </w:p>
        </w:tc>
        <w:tc>
          <w:tcPr>
            <w:tcW w:w="945" w:type="dxa"/>
            <w:vMerge w:val="restart"/>
            <w:tcBorders>
              <w:top w:val="single" w:color="auto"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王新   </w:t>
            </w:r>
          </w:p>
        </w:tc>
        <w:tc>
          <w:tcPr>
            <w:tcW w:w="1365" w:type="dxa"/>
            <w:gridSpan w:val="2"/>
            <w:vMerge w:val="restart"/>
            <w:tcBorders>
              <w:top w:val="single" w:color="auto"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县委宣传部     文广旅游局    交通局           农水科技局市场监管局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供销联社                   邮政分公司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各镇      </w:t>
            </w:r>
          </w:p>
        </w:tc>
        <w:tc>
          <w:tcPr>
            <w:tcW w:w="1365" w:type="dxa"/>
            <w:gridSpan w:val="2"/>
            <w:vMerge w:val="restart"/>
            <w:tcBorders>
              <w:top w:val="single" w:color="auto"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1000</w:t>
            </w:r>
          </w:p>
        </w:tc>
        <w:tc>
          <w:tcPr>
            <w:tcW w:w="1260" w:type="dxa"/>
            <w:vMerge w:val="restart"/>
            <w:tcBorders>
              <w:top w:val="single" w:color="auto" w:sz="4" w:space="0"/>
              <w:left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2018年8月前完成</w:t>
            </w:r>
          </w:p>
        </w:tc>
      </w:tr>
      <w:tr>
        <w:tblPrEx>
          <w:tblLayout w:type="fixed"/>
        </w:tblPrEx>
        <w:trPr>
          <w:trHeight w:val="312"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376"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646"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1074"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产品质量标准管理。1.结合相关标准，分类整理制定网销特色产品的生产标准、产品细分、包装配送、流程规范等质量规范标准。2.全县镇村站点严格按照标准收购农产品和网货供应中心产品出入库的质量检测检验。3.建立宁陕县农林产品“一品三标”认证补贴管理服务。4、建立农产品分级包装、预冷、初加工配送等基础设施建设。支持总金额不超过150万元。</w:t>
            </w: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PrEx>
        <w:trPr>
          <w:trHeight w:val="1128"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产品供应链建设。1.对我县特色产品、旅游产品等进行整体品牌规划和宣传推广，打造深加工产品等特色农产品为核心的区域公共品牌。2.建立县级网货供应中心，集中展示销售宁陕特产，统一供应线上销售的使用区域公共品牌可追溯的农林特产，为网商、小微电商创业企业提供代发货、网上结算等服务。3、鼓励奖补企业团体参与国家地标产品、有机认证，绿色、无公害产品认证等“三品一标”认证，和省市著名商标认定。</w:t>
            </w: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947" w:hRule="atLeast"/>
        </w:trPr>
        <w:tc>
          <w:tcPr>
            <w:tcW w:w="631"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农产品溯源管理。1、成立宁陕县供销电子商务有限公司，引进国内知名农业物联网公司，试点建设蜂蜜、果酒、香菇种植生产等物联网应用基地，利用传感器采集农产品环境数据和本体感知数据，实现田间地头的质量管控。2.搭建宁陕特产溯源认证平台、建立大数据服务中心，对经过检验检测的产品生成溯源认证二维码标签，分析监控产品销售数据。</w:t>
            </w:r>
          </w:p>
        </w:tc>
        <w:tc>
          <w:tcPr>
            <w:tcW w:w="1076"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598" w:hRule="atLeast"/>
        </w:trPr>
        <w:tc>
          <w:tcPr>
            <w:tcW w:w="631"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（五）、物流配送建设。整合全县物流快递企业，补贴物流上行。2.建立镇级物流中转站，连接县级物流仓储中心和村级物流收发点，建立村级物流收发点，为村民提供货物的配送和邮寄。</w:t>
            </w:r>
          </w:p>
        </w:tc>
        <w:tc>
          <w:tcPr>
            <w:tcW w:w="1076" w:type="dxa"/>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748"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建立电商人才培训体系</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陕商发【2017】19号关于进一步做好电子商务进农村综合示范工作的通知；不超过中央财政支持资金的20%</w:t>
            </w: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1.建立电商人才培训基地，配备电脑、桌椅等硬件设备，定期开展电商人才培训。</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人社局</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余永军</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经贸局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团县委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供销联社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市场监管局  各镇</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2017年8月底前完成</w:t>
            </w:r>
          </w:p>
        </w:tc>
      </w:tr>
      <w:tr>
        <w:tblPrEx>
          <w:tblLayout w:type="fixed"/>
          <w:tblCellMar>
            <w:top w:w="15" w:type="dxa"/>
            <w:left w:w="108" w:type="dxa"/>
            <w:bottom w:w="15" w:type="dxa"/>
            <w:right w:w="108" w:type="dxa"/>
          </w:tblCellMar>
        </w:tblPrEx>
        <w:trPr>
          <w:trHeight w:val="744"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2.搭建网上培训平台，设置培训视频、在线交流等模块，随时开展远程培训。</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2017年8月底前完成</w:t>
            </w:r>
          </w:p>
        </w:tc>
      </w:tr>
      <w:tr>
        <w:tblPrEx>
          <w:tblLayout w:type="fixed"/>
          <w:tblCellMar>
            <w:top w:w="15" w:type="dxa"/>
            <w:left w:w="108" w:type="dxa"/>
            <w:bottom w:w="15" w:type="dxa"/>
            <w:right w:w="108" w:type="dxa"/>
          </w:tblCellMar>
        </w:tblPrEx>
        <w:trPr>
          <w:trHeight w:val="1666"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3.制定培训工作方案，针对政府干部、大学生村官、创业青年、退伍军人、宁陕籍大学生、电商服务站点合伙人等群体，分期分批开展电子商务知识普及、应用管理、运营等业务培训。</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rPr>
              <w:t>2017</w:t>
            </w:r>
            <w:r>
              <w:rPr>
                <w:rFonts w:ascii="宋体" w:hAnsi="宋体" w:cs="宋体"/>
                <w:color w:val="000000"/>
                <w:kern w:val="0"/>
                <w:sz w:val="20"/>
              </w:rPr>
              <w:t>年</w:t>
            </w:r>
            <w:r>
              <w:rPr>
                <w:rFonts w:eastAsia="仿宋_GB2312"/>
                <w:color w:val="000000"/>
                <w:kern w:val="0"/>
                <w:sz w:val="20"/>
              </w:rPr>
              <w:t>12</w:t>
            </w:r>
            <w:r>
              <w:rPr>
                <w:rFonts w:ascii="宋体" w:hAnsi="宋体" w:cs="宋体"/>
                <w:color w:val="000000"/>
                <w:kern w:val="0"/>
                <w:sz w:val="20"/>
              </w:rPr>
              <w:t>月底前培训</w:t>
            </w:r>
            <w:r>
              <w:rPr>
                <w:rFonts w:eastAsia="仿宋_GB2312"/>
                <w:color w:val="000000"/>
                <w:kern w:val="0"/>
                <w:sz w:val="20"/>
              </w:rPr>
              <w:t>1500</w:t>
            </w:r>
            <w:r>
              <w:rPr>
                <w:rFonts w:ascii="宋体" w:hAnsi="宋体" w:cs="宋体"/>
                <w:color w:val="000000"/>
                <w:kern w:val="0"/>
                <w:sz w:val="20"/>
              </w:rPr>
              <w:t>人次，</w:t>
            </w:r>
            <w:r>
              <w:rPr>
                <w:rFonts w:ascii="仿宋_GB2312" w:hAnsi="宋体" w:eastAsia="仿宋_GB2312" w:cs="宋体"/>
                <w:kern w:val="0"/>
                <w:sz w:val="20"/>
              </w:rPr>
              <w:t>2019年4月底前累计培训6</w:t>
            </w:r>
            <w:r>
              <w:rPr>
                <w:rFonts w:ascii="仿宋_GB2312" w:hAnsi="宋体" w:eastAsia="仿宋_GB2312" w:cs="宋体"/>
                <w:color w:val="000000"/>
                <w:kern w:val="0"/>
                <w:sz w:val="20"/>
              </w:rPr>
              <w:t xml:space="preserve">000人次。 </w:t>
            </w:r>
          </w:p>
        </w:tc>
      </w:tr>
      <w:tr>
        <w:tblPrEx>
          <w:tblLayout w:type="fixed"/>
        </w:tblPrEx>
        <w:trPr>
          <w:trHeight w:val="752"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建立电商创业孵化体系</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1.建立宁陕县电商孵化中心、宁陕县大学生创业孵化基地，免费提供办公场所和办公设备，为电商创业者和大学毕业生提供创业平台。</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人社局</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余永军</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供销联社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市场监管局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各镇</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50</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2017年12月底前完成孵化基地建设，新增100个就业岗位。</w:t>
            </w:r>
          </w:p>
        </w:tc>
      </w:tr>
      <w:tr>
        <w:tblPrEx>
          <w:tblLayout w:type="fixed"/>
          <w:tblCellMar>
            <w:top w:w="15" w:type="dxa"/>
            <w:left w:w="108" w:type="dxa"/>
            <w:bottom w:w="15" w:type="dxa"/>
            <w:right w:w="108" w:type="dxa"/>
          </w:tblCellMar>
        </w:tblPrEx>
        <w:trPr>
          <w:trHeight w:val="765"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2.加大高级电商管理人才、核心技术人才、高端运营人才的引进力度，鼓励宁陕籍大学生回乡创业。</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452"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3.举办电商创业、农产品营销大赛等活动。</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556"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建立电商宣传引资体系</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1.在县城、镇、村的主干道，高速路口，各旅游景点，制作宣传牌、刀旗、横幅等宣传农村电子商务。</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经贸局</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王新</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县委宣传部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住建局       文广旅游局    交通局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各镇</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150</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2018年10月前完成</w:t>
            </w:r>
          </w:p>
        </w:tc>
      </w:tr>
      <w:tr>
        <w:tblPrEx>
          <w:tblLayout w:type="fixed"/>
          <w:tblCellMar>
            <w:top w:w="15" w:type="dxa"/>
            <w:left w:w="108" w:type="dxa"/>
            <w:bottom w:w="15" w:type="dxa"/>
            <w:right w:w="108" w:type="dxa"/>
          </w:tblCellMar>
        </w:tblPrEx>
        <w:trPr>
          <w:trHeight w:val="807"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2.培育微博达人、微信公众号等自媒体，融合各类别、各层次媒体资源，跨媒体宣传推广当地电商产品和旅游资源，总结提炼电商发展模式、典型经验和做法。</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807"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3.制作推广通俗易懂的电商纪实片、宣传画册、连环画等，对群众加以引导。</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PrEx>
        <w:trPr>
          <w:trHeight w:val="260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建立财政资金奖扶体系</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县财政每年安排100万元专项资金，推进电子商务进农村工作。2、出台《宁陕县促进电子商务发展扶持奖励办法》，对电商创业者加以适当扶持，对电商基础性、关键性项目加以引导帮扶。3、整合扶贫产业资金用于电子商务关联产业一体发展。4.建立项目资金使用管理制度，加强项目资金的监管，确保专项资金发挥效益。5、制定项目资金管理制度、推进政务公开，公开综合示范工作方案、资金管理制度，公开项目申报、评审、评估等环节，公开项目名称、建设内容和要求、项目承办单位名称、扶持资金额度、完成时限、绩效目标、确定财政扶持该项目的决策文件、示范县和项目承包单位责任人等，定期公布项目建设进度。</w:t>
            </w: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财政局</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杨永杰</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经贸局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扶贫局</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2017年12月底前完成制定工作；                            每年100万元；                                          按项目进度考核；</w:t>
            </w:r>
          </w:p>
        </w:tc>
      </w:tr>
      <w:tr>
        <w:tblPrEx>
          <w:tblLayout w:type="fixed"/>
          <w:tblCellMar>
            <w:top w:w="15" w:type="dxa"/>
            <w:left w:w="108" w:type="dxa"/>
            <w:bottom w:w="15" w:type="dxa"/>
            <w:right w:w="108" w:type="dxa"/>
          </w:tblCellMar>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建立综合保障管理体系</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598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1.建立电子商务市场监管机制和商务信用评价制度。</w:t>
            </w:r>
          </w:p>
        </w:tc>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考核办</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刘厚明</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考核办               市场监管局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审计局</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2017年12月底前完成</w:t>
            </w:r>
          </w:p>
        </w:tc>
      </w:tr>
      <w:tr>
        <w:tblPrEx>
          <w:tblLayout w:type="fixed"/>
          <w:tblCellMar>
            <w:top w:w="15" w:type="dxa"/>
            <w:left w:w="108" w:type="dxa"/>
            <w:bottom w:w="15" w:type="dxa"/>
            <w:right w:w="108" w:type="dxa"/>
          </w:tblCellMar>
        </w:tblPrEx>
        <w:trPr>
          <w:trHeight w:val="312"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r>
      <w:tr>
        <w:tblPrEx>
          <w:tblLayout w:type="fixed"/>
          <w:tblCellMar>
            <w:top w:w="15" w:type="dxa"/>
            <w:left w:w="108" w:type="dxa"/>
            <w:bottom w:w="15" w:type="dxa"/>
            <w:right w:w="108" w:type="dxa"/>
          </w:tblCellMar>
        </w:tblPrEx>
        <w:trPr>
          <w:trHeight w:val="682"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2.建立示范县专项资金使用每半年审计制度。</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2017年12月底完成</w:t>
            </w:r>
          </w:p>
        </w:tc>
      </w:tr>
      <w:tr>
        <w:tblPrEx>
          <w:tblLayout w:type="fixed"/>
          <w:tblCellMar>
            <w:top w:w="15" w:type="dxa"/>
            <w:left w:w="108" w:type="dxa"/>
            <w:bottom w:w="15" w:type="dxa"/>
            <w:right w:w="108" w:type="dxa"/>
          </w:tblCellMar>
        </w:tblPrEx>
        <w:trPr>
          <w:trHeight w:val="734" w:hRule="atLeast"/>
        </w:trPr>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3.建立绩效考评制度，实行月督查、季考评，加强对各部门、各镇的考评和对项目承接单位的绩效评价。</w:t>
            </w:r>
          </w:p>
        </w:tc>
        <w:tc>
          <w:tcPr>
            <w:tcW w:w="1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按项目进度考核</w:t>
            </w:r>
          </w:p>
        </w:tc>
      </w:tr>
      <w:tr>
        <w:tblPrEx>
          <w:tblLayout w:type="fixed"/>
          <w:tblCellMar>
            <w:top w:w="15" w:type="dxa"/>
            <w:left w:w="108" w:type="dxa"/>
            <w:bottom w:w="15" w:type="dxa"/>
            <w:right w:w="108" w:type="dxa"/>
          </w:tblCellMar>
        </w:tblPrEx>
        <w:trPr>
          <w:trHeight w:val="740" w:hRule="atLeast"/>
        </w:trPr>
        <w:tc>
          <w:tcPr>
            <w:tcW w:w="294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2000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仿宋_GB2312" w:hAnsi="宋体" w:eastAsia="仿宋_GB2312" w:cs="宋体"/>
                <w:color w:val="000000"/>
                <w:kern w:val="0"/>
                <w:sz w:val="22"/>
                <w:szCs w:val="22"/>
              </w:rPr>
            </w:pPr>
          </w:p>
        </w:tc>
      </w:tr>
    </w:tbl>
    <w:p>
      <w:pPr>
        <w:spacing w:line="220" w:lineRule="exact"/>
        <w:rPr>
          <w:rFonts w:hint="eastAsia"/>
        </w:rPr>
      </w:pPr>
    </w:p>
    <w:p>
      <w:bookmarkStart w:id="0" w:name="_GoBack"/>
      <w:bookmarkEnd w:id="0"/>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szCs w:val="28"/>
      </w:rPr>
    </w:pPr>
    <w:r>
      <w:rPr>
        <w:rStyle w:val="4"/>
        <w:sz w:val="28"/>
        <w:szCs w:val="28"/>
      </w:rPr>
      <w:t>—</w:t>
    </w:r>
    <w:r>
      <w:rPr>
        <w:rStyle w:val="4"/>
        <w:rFonts w:hint="eastAsia"/>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19</w:t>
    </w:r>
    <w:r>
      <w:rPr>
        <w:rStyle w:val="4"/>
        <w:sz w:val="28"/>
        <w:szCs w:val="28"/>
      </w:rPr>
      <w:fldChar w:fldCharType="end"/>
    </w:r>
    <w:r>
      <w:rPr>
        <w:rStyle w:val="4"/>
        <w:rFonts w:hint="eastAsia"/>
        <w:sz w:val="28"/>
        <w:szCs w:val="28"/>
      </w:rPr>
      <w:t xml:space="preserve"> </w:t>
    </w:r>
    <w:r>
      <w:rPr>
        <w:rStyle w:val="4"/>
        <w:sz w:val="28"/>
        <w:szCs w:val="28"/>
      </w:rPr>
      <w:t>—</w:t>
    </w:r>
  </w:p>
  <w:p>
    <w:pPr>
      <w:pStyle w:val="2"/>
      <w:ind w:right="360" w:firstLine="360"/>
      <w:jc w:val="center"/>
    </w:pPr>
  </w:p>
  <w:p>
    <w:pPr>
      <w:pStyle w:val="2"/>
      <w:jc w:val="cente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484" w:y="-303"/>
      <w:rPr>
        <w:rStyle w:val="4"/>
        <w:rFonts w:eastAsia="黑体"/>
        <w:sz w:val="28"/>
        <w:szCs w:val="28"/>
      </w:rPr>
    </w:pPr>
    <w:r>
      <w:rPr>
        <w:rFonts w:eastAsia="黑体"/>
        <w:sz w:val="28"/>
        <w:szCs w:val="28"/>
      </w:rPr>
      <w:t>—</w:t>
    </w:r>
    <w:r>
      <w:rPr>
        <w:rFonts w:hint="eastAsia" w:eastAsia="黑体"/>
        <w:sz w:val="28"/>
        <w:szCs w:val="28"/>
      </w:rPr>
      <w:t xml:space="preserve"> </w:t>
    </w:r>
    <w:r>
      <w:rPr>
        <w:rFonts w:eastAsia="黑体"/>
        <w:sz w:val="28"/>
        <w:szCs w:val="28"/>
      </w:rPr>
      <w:fldChar w:fldCharType="begin"/>
    </w:r>
    <w:r>
      <w:rPr>
        <w:rStyle w:val="4"/>
        <w:rFonts w:eastAsia="黑体"/>
        <w:sz w:val="28"/>
        <w:szCs w:val="28"/>
      </w:rPr>
      <w:instrText xml:space="preserve">PAGE  </w:instrText>
    </w:r>
    <w:r>
      <w:rPr>
        <w:rFonts w:eastAsia="黑体"/>
        <w:sz w:val="28"/>
        <w:szCs w:val="28"/>
      </w:rPr>
      <w:fldChar w:fldCharType="separate"/>
    </w:r>
    <w:r>
      <w:rPr>
        <w:rStyle w:val="4"/>
        <w:rFonts w:eastAsia="黑体"/>
        <w:sz w:val="28"/>
        <w:szCs w:val="28"/>
      </w:rPr>
      <w:t>18</w:t>
    </w:r>
    <w:r>
      <w:rPr>
        <w:rFonts w:eastAsia="黑体"/>
        <w:sz w:val="28"/>
        <w:szCs w:val="28"/>
      </w:rPr>
      <w:fldChar w:fldCharType="end"/>
    </w:r>
    <w:r>
      <w:rPr>
        <w:rFonts w:hint="eastAsia" w:eastAsia="黑体"/>
        <w:sz w:val="28"/>
        <w:szCs w:val="28"/>
      </w:rPr>
      <w:t xml:space="preserve"> </w:t>
    </w:r>
    <w:r>
      <w:rPr>
        <w:rFonts w:eastAsia="黑体"/>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szCs w:val="28"/>
      </w:rPr>
    </w:pPr>
    <w:r>
      <w:rPr>
        <w:rStyle w:val="4"/>
        <w:sz w:val="28"/>
        <w:szCs w:val="28"/>
      </w:rPr>
      <w:t>—</w:t>
    </w:r>
    <w:r>
      <w:rPr>
        <w:rStyle w:val="4"/>
        <w:rFonts w:hint="eastAsia"/>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19</w:t>
    </w:r>
    <w:r>
      <w:rPr>
        <w:rStyle w:val="4"/>
        <w:sz w:val="28"/>
        <w:szCs w:val="28"/>
      </w:rPr>
      <w:fldChar w:fldCharType="end"/>
    </w:r>
    <w:r>
      <w:rPr>
        <w:rStyle w:val="4"/>
        <w:rFonts w:hint="eastAsia"/>
        <w:sz w:val="28"/>
        <w:szCs w:val="28"/>
      </w:rPr>
      <w:t xml:space="preserve"> </w:t>
    </w:r>
    <w:r>
      <w:rPr>
        <w:rStyle w:val="4"/>
        <w:sz w:val="28"/>
        <w:szCs w:val="28"/>
      </w:rPr>
      <w:t>—</w:t>
    </w:r>
  </w:p>
  <w:p>
    <w:pPr>
      <w:pStyle w:val="2"/>
      <w:ind w:right="360" w:firstLine="360"/>
      <w:jc w:val="center"/>
    </w:pPr>
  </w:p>
  <w:p>
    <w:pPr>
      <w:pStyle w:val="2"/>
      <w:jc w:val="center"/>
    </w:pP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03E9"/>
    <w:rsid w:val="4BA5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2018-01-15T01:49:00Z</dcterms:created>
  <dc:creator>圆月挂疏桐</dc:creator>
  <cp:lastModifiedBy>圆月挂疏桐</cp:lastModifiedBy>
  <dcterms:modified xsi:type="dcterms:W3CDTF">2018-01-15T01:53:56Z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