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b w:val="0"/>
          <w:bCs/>
        </w:rPr>
      </w:pPr>
      <w:r>
        <w:rPr>
          <w:rFonts w:hint="eastAsia" w:ascii="黑体" w:hAnsi="黑体" w:eastAsia="黑体" w:cs="黑体"/>
          <w:b w:val="0"/>
          <w:bCs/>
        </w:rPr>
        <w:t>附件1</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after="156" w:afterLines="5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宁陕县中心城区</w:t>
      </w:r>
      <w:r>
        <w:rPr>
          <w:rFonts w:hint="eastAsia" w:ascii="方正小标宋简体" w:hAnsi="方正小标宋简体" w:eastAsia="方正小标宋简体" w:cs="方正小标宋简体"/>
          <w:b w:val="0"/>
          <w:bCs/>
          <w:sz w:val="44"/>
          <w:szCs w:val="44"/>
        </w:rPr>
        <w:t>2021年标定地价体系建设成果基本内容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一、标定地价公示范围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宁陕县</w:t>
      </w:r>
      <w:r>
        <w:rPr>
          <w:rFonts w:hint="eastAsia" w:ascii="仿宋_GB2312" w:hAnsi="仿宋_GB2312" w:eastAsia="仿宋_GB2312" w:cs="仿宋_GB2312"/>
          <w:sz w:val="32"/>
          <w:szCs w:val="32"/>
        </w:rPr>
        <w:t>土地供应信息和现状调查，本次</w:t>
      </w:r>
      <w:r>
        <w:rPr>
          <w:rFonts w:hint="eastAsia" w:ascii="仿宋_GB2312" w:hAnsi="仿宋_GB2312" w:eastAsia="仿宋_GB2312" w:cs="仿宋_GB2312"/>
          <w:sz w:val="32"/>
          <w:szCs w:val="32"/>
          <w:lang w:val="en-US" w:eastAsia="zh-CN"/>
        </w:rPr>
        <w:t>宁陕县中心城区</w:t>
      </w:r>
      <w:r>
        <w:rPr>
          <w:rFonts w:hint="eastAsia" w:ascii="仿宋_GB2312" w:hAnsi="仿宋_GB2312" w:eastAsia="仿宋_GB2312" w:cs="仿宋_GB2312"/>
          <w:sz w:val="32"/>
          <w:szCs w:val="32"/>
        </w:rPr>
        <w:t>2021年标定地价体系建设范围</w:t>
      </w:r>
      <w:r>
        <w:rPr>
          <w:rFonts w:hint="eastAsia" w:ascii="仿宋_GB2312" w:hAnsi="仿宋_GB2312" w:eastAsia="仿宋_GB2312" w:cs="仿宋_GB2312"/>
          <w:sz w:val="32"/>
          <w:szCs w:val="32"/>
          <w:lang w:val="en-US" w:eastAsia="zh-CN"/>
        </w:rPr>
        <w:t>主要为宁陕县中心城区规划范围。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二、标定地价内涵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定地价是政府为管理需要确定的，标准宗地在现状开发利用、正常市场条件、法定最高使用年期或政策规定年期下，某一估价期日的土地权利价格。根据标定地价的有关界定，明确本次宁陕县中心城区标定地价体系建设工作的价格内涵为：</w:t>
      </w:r>
    </w:p>
    <w:tbl>
      <w:tblPr>
        <w:tblStyle w:val="6"/>
        <w:tblW w:w="836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68"/>
        <w:gridCol w:w="1850"/>
        <w:gridCol w:w="1851"/>
        <w:gridCol w:w="1697"/>
        <w:gridCol w:w="16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blHeader/>
          <w:jc w:val="center"/>
        </w:trPr>
        <w:tc>
          <w:tcPr>
            <w:tcW w:w="8362" w:type="dxa"/>
            <w:gridSpan w:val="5"/>
            <w:shd w:val="clear" w:color="auto" w:fill="auto"/>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b/>
                <w:kern w:val="0"/>
                <w:sz w:val="24"/>
                <w:szCs w:val="24"/>
                <w:lang w:val="en-US" w:eastAsia="zh-CN"/>
              </w:rPr>
              <w:t>宁陕县</w:t>
            </w:r>
            <w:r>
              <w:rPr>
                <w:rFonts w:ascii="Times New Roman" w:hAnsi="Times New Roman" w:eastAsia="仿宋_GB2312" w:cs="Times New Roman"/>
                <w:b/>
                <w:kern w:val="0"/>
                <w:sz w:val="24"/>
                <w:szCs w:val="24"/>
              </w:rPr>
              <w:t>城镇标定地价内涵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blHeader/>
          <w:jc w:val="center"/>
        </w:trPr>
        <w:tc>
          <w:tcPr>
            <w:tcW w:w="1268"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用 途</w:t>
            </w:r>
          </w:p>
        </w:tc>
        <w:tc>
          <w:tcPr>
            <w:tcW w:w="1850"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商服用地</w:t>
            </w:r>
          </w:p>
        </w:tc>
        <w:tc>
          <w:tcPr>
            <w:tcW w:w="1851"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住宅用地</w:t>
            </w:r>
          </w:p>
        </w:tc>
        <w:tc>
          <w:tcPr>
            <w:tcW w:w="1697"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商住混合用地</w:t>
            </w:r>
          </w:p>
        </w:tc>
        <w:tc>
          <w:tcPr>
            <w:tcW w:w="1696"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工业用地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估价期日</w:t>
            </w:r>
          </w:p>
        </w:tc>
        <w:tc>
          <w:tcPr>
            <w:tcW w:w="7094" w:type="dxa"/>
            <w:gridSpan w:val="4"/>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2021年1月1日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容积率</w:t>
            </w:r>
          </w:p>
        </w:tc>
        <w:tc>
          <w:tcPr>
            <w:tcW w:w="7094" w:type="dxa"/>
            <w:gridSpan w:val="4"/>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现状容积率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开发程度</w:t>
            </w:r>
          </w:p>
        </w:tc>
        <w:tc>
          <w:tcPr>
            <w:tcW w:w="7094" w:type="dxa"/>
            <w:gridSpan w:val="4"/>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现状开发程度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法定最高</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出让年期</w:t>
            </w:r>
          </w:p>
        </w:tc>
        <w:tc>
          <w:tcPr>
            <w:tcW w:w="1850"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1851"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70</w:t>
            </w:r>
          </w:p>
        </w:tc>
        <w:tc>
          <w:tcPr>
            <w:tcW w:w="1697"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商服40年，</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住宅70年</w:t>
            </w:r>
          </w:p>
        </w:tc>
        <w:tc>
          <w:tcPr>
            <w:tcW w:w="1696"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价格表现</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形式</w:t>
            </w:r>
          </w:p>
        </w:tc>
        <w:tc>
          <w:tcPr>
            <w:tcW w:w="1850" w:type="dxa"/>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地面地价、</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楼面地价</w:t>
            </w:r>
          </w:p>
        </w:tc>
        <w:tc>
          <w:tcPr>
            <w:tcW w:w="1851" w:type="dxa"/>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地面地价、</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楼面地价</w:t>
            </w:r>
          </w:p>
        </w:tc>
        <w:tc>
          <w:tcPr>
            <w:tcW w:w="1697" w:type="dxa"/>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地面地价、</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楼面地价</w:t>
            </w:r>
          </w:p>
        </w:tc>
        <w:tc>
          <w:tcPr>
            <w:tcW w:w="1696"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地面地价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jc w:val="center"/>
        </w:trPr>
        <w:tc>
          <w:tcPr>
            <w:tcW w:w="1268" w:type="dxa"/>
            <w:shd w:val="clear" w:color="auto" w:fill="auto"/>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价格类型</w:t>
            </w:r>
          </w:p>
        </w:tc>
        <w:tc>
          <w:tcPr>
            <w:tcW w:w="7094" w:type="dxa"/>
            <w:gridSpan w:val="4"/>
            <w:shd w:val="clear" w:color="auto" w:fill="auto"/>
            <w:vAlign w:val="center"/>
          </w:tcPr>
          <w:p>
            <w:pPr>
              <w:spacing w:line="240" w:lineRule="atLeast"/>
              <w:jc w:val="center"/>
              <w:rPr>
                <w:rFonts w:hint="eastAsia" w:ascii="Times New Roman" w:hAnsi="Times New Roman" w:eastAsia="仿宋_GB2312" w:cs="Times New Roman"/>
                <w:sz w:val="24"/>
                <w:szCs w:val="24"/>
              </w:rPr>
            </w:pPr>
            <w:r>
              <w:rPr>
                <w:rFonts w:ascii="Times New Roman" w:hAnsi="Times New Roman" w:eastAsia="仿宋_GB2312" w:cs="Times New Roman"/>
                <w:sz w:val="24"/>
                <w:szCs w:val="24"/>
              </w:rPr>
              <w:t>市场特征平稳正常情况、公开竞争市场条件下的</w:t>
            </w:r>
          </w:p>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权利特征完整的使用权价格</w:t>
            </w:r>
          </w:p>
        </w:tc>
      </w:tr>
    </w:tbl>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三、标定区域、标准宗地划分结果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val="en-US" w:eastAsia="zh-CN"/>
        </w:rPr>
        <w:t>宁陕县</w:t>
      </w:r>
      <w:r>
        <w:rPr>
          <w:rFonts w:hint="eastAsia" w:ascii="仿宋_GB2312" w:hAnsi="仿宋_GB2312" w:eastAsia="仿宋_GB2312" w:cs="仿宋_GB2312"/>
          <w:sz w:val="32"/>
          <w:szCs w:val="32"/>
        </w:rPr>
        <w:t>共划定标定区域</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个，公示范围共计</w:t>
      </w:r>
      <w:r>
        <w:rPr>
          <w:rFonts w:hint="eastAsia" w:ascii="仿宋_GB2312" w:hAnsi="仿宋_GB2312" w:eastAsia="仿宋_GB2312" w:cs="仿宋_GB2312"/>
          <w:sz w:val="32"/>
          <w:szCs w:val="32"/>
          <w:lang w:val="en-US" w:eastAsia="zh-CN"/>
        </w:rPr>
        <w:t>77.1774</w:t>
      </w:r>
      <w:r>
        <w:rPr>
          <w:rFonts w:hint="eastAsia" w:ascii="仿宋_GB2312" w:hAnsi="仿宋_GB2312" w:eastAsia="仿宋_GB2312" w:cs="仿宋_GB2312"/>
          <w:sz w:val="32"/>
          <w:szCs w:val="32"/>
        </w:rPr>
        <w:t>公顷。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中心城区商服用地划分了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个标定区域，公示范围</w:t>
      </w:r>
      <w:r>
        <w:rPr>
          <w:rFonts w:hint="eastAsia" w:ascii="仿宋_GB2312" w:hAnsi="仿宋_GB2312" w:eastAsia="仿宋_GB2312" w:cs="仿宋_GB2312"/>
          <w:sz w:val="32"/>
          <w:szCs w:val="32"/>
          <w:lang w:val="en-US" w:eastAsia="zh-CN"/>
        </w:rPr>
        <w:t>5.9578</w:t>
      </w:r>
      <w:r>
        <w:rPr>
          <w:rFonts w:hint="eastAsia" w:ascii="仿宋_GB2312" w:hAnsi="仿宋_GB2312" w:eastAsia="仿宋_GB2312" w:cs="仿宋_GB2312"/>
          <w:sz w:val="32"/>
          <w:szCs w:val="32"/>
        </w:rPr>
        <w:t>公顷；住宅用地划分了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个标定区域，公示范围</w:t>
      </w:r>
      <w:r>
        <w:rPr>
          <w:rFonts w:hint="eastAsia" w:ascii="仿宋_GB2312" w:hAnsi="仿宋_GB2312" w:eastAsia="仿宋_GB2312" w:cs="仿宋_GB2312"/>
          <w:sz w:val="32"/>
          <w:szCs w:val="32"/>
          <w:lang w:val="en-US" w:eastAsia="zh-CN"/>
        </w:rPr>
        <w:t>48.4132</w:t>
      </w:r>
      <w:r>
        <w:rPr>
          <w:rFonts w:hint="eastAsia" w:ascii="仿宋_GB2312" w:hAnsi="仿宋_GB2312" w:eastAsia="仿宋_GB2312" w:cs="仿宋_GB2312"/>
          <w:sz w:val="32"/>
          <w:szCs w:val="32"/>
        </w:rPr>
        <w:t>公顷；商住混合用地划分了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个标定区域，公示范围共计</w:t>
      </w:r>
      <w:r>
        <w:rPr>
          <w:rFonts w:hint="eastAsia" w:ascii="仿宋_GB2312" w:hAnsi="仿宋_GB2312" w:eastAsia="仿宋_GB2312" w:cs="仿宋_GB2312"/>
          <w:sz w:val="32"/>
          <w:szCs w:val="32"/>
          <w:lang w:val="en-US" w:eastAsia="zh-CN"/>
        </w:rPr>
        <w:t>8.0361</w:t>
      </w:r>
      <w:r>
        <w:rPr>
          <w:rFonts w:hint="eastAsia" w:ascii="仿宋_GB2312" w:hAnsi="仿宋_GB2312" w:eastAsia="仿宋_GB2312" w:cs="仿宋_GB2312"/>
          <w:sz w:val="32"/>
          <w:szCs w:val="32"/>
        </w:rPr>
        <w:t>公顷；工业用地划分了1个标定区域，公示范围</w:t>
      </w:r>
      <w:r>
        <w:rPr>
          <w:rFonts w:hint="eastAsia" w:ascii="仿宋_GB2312" w:hAnsi="仿宋_GB2312" w:eastAsia="仿宋_GB2312" w:cs="仿宋_GB2312"/>
          <w:sz w:val="32"/>
          <w:szCs w:val="32"/>
          <w:lang w:val="en-US" w:eastAsia="zh-CN"/>
        </w:rPr>
        <w:t>14.7703</w:t>
      </w:r>
      <w:r>
        <w:rPr>
          <w:rFonts w:hint="eastAsia" w:ascii="仿宋_GB2312" w:hAnsi="仿宋_GB2312" w:eastAsia="仿宋_GB2312" w:cs="仿宋_GB2312"/>
          <w:sz w:val="32"/>
          <w:szCs w:val="32"/>
        </w:rPr>
        <w:t>公顷。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按照规程标准，每个标定区域内设置1宗标准宗地，共设定标准宗地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宗，具体划分结果详见标定地价公示信息表和标准宗地与标定区域布设图。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54"/>
    <w:rsid w:val="00050D7F"/>
    <w:rsid w:val="000715DF"/>
    <w:rsid w:val="00090DFE"/>
    <w:rsid w:val="00110F3F"/>
    <w:rsid w:val="00182D2E"/>
    <w:rsid w:val="0019561C"/>
    <w:rsid w:val="001B2788"/>
    <w:rsid w:val="001E7151"/>
    <w:rsid w:val="00215E59"/>
    <w:rsid w:val="002870BF"/>
    <w:rsid w:val="002D0432"/>
    <w:rsid w:val="003228C0"/>
    <w:rsid w:val="0032533C"/>
    <w:rsid w:val="003A54F9"/>
    <w:rsid w:val="00474831"/>
    <w:rsid w:val="0048578F"/>
    <w:rsid w:val="004A1AA9"/>
    <w:rsid w:val="005505D3"/>
    <w:rsid w:val="005C13F1"/>
    <w:rsid w:val="005F2620"/>
    <w:rsid w:val="0061415A"/>
    <w:rsid w:val="006443B4"/>
    <w:rsid w:val="0067437C"/>
    <w:rsid w:val="00695B4F"/>
    <w:rsid w:val="006C4A1A"/>
    <w:rsid w:val="006E31A6"/>
    <w:rsid w:val="007158CD"/>
    <w:rsid w:val="007231B1"/>
    <w:rsid w:val="00733B25"/>
    <w:rsid w:val="0081325F"/>
    <w:rsid w:val="008279BF"/>
    <w:rsid w:val="008353DB"/>
    <w:rsid w:val="00847A58"/>
    <w:rsid w:val="00855698"/>
    <w:rsid w:val="00942890"/>
    <w:rsid w:val="00947CD1"/>
    <w:rsid w:val="00952314"/>
    <w:rsid w:val="009735F1"/>
    <w:rsid w:val="00983C22"/>
    <w:rsid w:val="009E4643"/>
    <w:rsid w:val="00A062CC"/>
    <w:rsid w:val="00AC0493"/>
    <w:rsid w:val="00AC0789"/>
    <w:rsid w:val="00AD4D09"/>
    <w:rsid w:val="00B03B49"/>
    <w:rsid w:val="00B45986"/>
    <w:rsid w:val="00BE390C"/>
    <w:rsid w:val="00C05FF2"/>
    <w:rsid w:val="00C45F2D"/>
    <w:rsid w:val="00CA5F7F"/>
    <w:rsid w:val="00CE1A41"/>
    <w:rsid w:val="00D21A21"/>
    <w:rsid w:val="00D621E0"/>
    <w:rsid w:val="00DB3A1B"/>
    <w:rsid w:val="00DF2D71"/>
    <w:rsid w:val="00E14CF0"/>
    <w:rsid w:val="00E2004A"/>
    <w:rsid w:val="00E91FDC"/>
    <w:rsid w:val="00ED6FC7"/>
    <w:rsid w:val="00EF1B54"/>
    <w:rsid w:val="00F403D5"/>
    <w:rsid w:val="00F67B26"/>
    <w:rsid w:val="00FA33A5"/>
    <w:rsid w:val="017738A1"/>
    <w:rsid w:val="028B10C2"/>
    <w:rsid w:val="247D7EA3"/>
    <w:rsid w:val="315375BF"/>
    <w:rsid w:val="4EFD0A57"/>
    <w:rsid w:val="66535EF2"/>
    <w:rsid w:val="690B4F96"/>
    <w:rsid w:val="7A62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outlineLvl w:val="0"/>
    </w:pPr>
    <w:rPr>
      <w:rFonts w:ascii="Times New Roman" w:hAnsi="Times New Roman" w:eastAsia="仿宋_GB2312" w:cs="Times New Roman"/>
      <w:b/>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标题 1 Char"/>
    <w:basedOn w:val="5"/>
    <w:link w:val="2"/>
    <w:qFormat/>
    <w:uiPriority w:val="9"/>
    <w:rPr>
      <w:rFonts w:ascii="Times New Roman" w:hAnsi="Times New Roman" w:eastAsia="仿宋_GB2312" w:cs="Times New Roman"/>
      <w:b/>
      <w:sz w:val="28"/>
      <w:szCs w:val="28"/>
    </w:rPr>
  </w:style>
  <w:style w:type="paragraph" w:customStyle="1" w:styleId="11">
    <w:name w:val="0表格"/>
    <w:basedOn w:val="1"/>
    <w:link w:val="12"/>
    <w:qFormat/>
    <w:uiPriority w:val="0"/>
    <w:pPr>
      <w:spacing w:line="240" w:lineRule="atLeast"/>
      <w:jc w:val="center"/>
    </w:pPr>
    <w:rPr>
      <w:rFonts w:ascii="Times New Roman" w:hAnsi="Times New Roman" w:eastAsia="仿宋_GB2312" w:cs="Times New Roman"/>
      <w:color w:val="000000"/>
      <w:sz w:val="24"/>
      <w:szCs w:val="24"/>
    </w:rPr>
  </w:style>
  <w:style w:type="character" w:customStyle="1" w:styleId="12">
    <w:name w:val="0表格 Char"/>
    <w:basedOn w:val="5"/>
    <w:link w:val="11"/>
    <w:qFormat/>
    <w:uiPriority w:val="0"/>
    <w:rPr>
      <w:rFonts w:ascii="Times New Roman" w:hAnsi="Times New Roman" w:eastAsia="仿宋_GB2312" w:cs="Times New Roman"/>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21190-860C-488D-812E-0A48E5D65D30}">
  <ds:schemaRefs/>
</ds:datastoreItem>
</file>

<file path=docProps/app.xml><?xml version="1.0" encoding="utf-8"?>
<Properties xmlns="http://schemas.openxmlformats.org/officeDocument/2006/extended-properties" xmlns:vt="http://schemas.openxmlformats.org/officeDocument/2006/docPropsVTypes">
  <Template>Normal.dotm</Template>
  <Company>長安系统 稳定兼容</Company>
  <Pages>2</Pages>
  <Words>135</Words>
  <Characters>771</Characters>
  <Lines>6</Lines>
  <Paragraphs>1</Paragraphs>
  <TotalTime>7</TotalTime>
  <ScaleCrop>false</ScaleCrop>
  <LinksUpToDate>false</LinksUpToDate>
  <CharactersWithSpaces>905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2021-11-23T06:56:00Z</dcterms:created>
  <dc:creator>長安系统</dc:creator>
  <cp:lastModifiedBy>宁陕县自然资源局文书管理</cp:lastModifiedBy>
  <dcterms:modified xsi:type="dcterms:W3CDTF">2022-03-22T06:56:57Z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84EF451059B842B88152DE93042ED64B</vt:lpwstr>
  </property>
</Properties>
</file>