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宁陕县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农用地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耕地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定级与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基准地价评估基本内容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一、制订范围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宁陕县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农用地定级与基准地价评估的工作范围为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宁陕县</w:t>
      </w:r>
      <w:r>
        <w:rPr>
          <w:rFonts w:hint="eastAsia" w:ascii="仿宋_GB2312" w:hAnsi="仿宋_GB2312" w:eastAsia="仿宋_GB2312" w:cs="仿宋_GB2312"/>
          <w:sz w:val="32"/>
          <w:szCs w:val="32"/>
        </w:rPr>
        <w:t>整个行政辖区，工作对象为范围内所有耕地。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土地级别范围说明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宁陕县耕地共划分为四个级别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占土地总面积的7.26%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，均分布在城关镇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占土地总面积的9.85%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分布在城关镇和筒车湾镇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三级及四级土地全县各镇均有分布，其中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三级地占土地总面积的27.85%，四级地占土地总面积的55.04%。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具体土地级别以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宁陕县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农用地（耕地）基准地价图为准。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三、基准地价内涵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依据中国土地估价师与土地登记代理人协会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农村集体土地价格评估技术指引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，本次制订的农用地基准地价包括承包经营权价格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经营权价格。结合国家土地承包经营政策，耕地承包经营权的价格内涵设定为30年，经营权设定为5年。基准地价内涵如下表所示：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  宁陕县农用地（耕地）基准地价内涵表</w:t>
      </w:r>
    </w:p>
    <w:tbl>
      <w:tblPr>
        <w:tblStyle w:val="5"/>
        <w:tblW w:w="84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5"/>
        <w:gridCol w:w="1275"/>
        <w:gridCol w:w="1276"/>
        <w:gridCol w:w="2552"/>
        <w:gridCol w:w="983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土地用途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估价期日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耕作制度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农田基础设施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年限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使用权类型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耕地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（旱地）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2019</w:t>
            </w: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31</w:t>
            </w: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一年一熟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玉米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宗地外道路通达、宗地内土地平整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30年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承包经营权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经营权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耕地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（水田）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2019</w:t>
            </w: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31</w:t>
            </w: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一年一熟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宗地外道路通达、具有基本的灌溉条件、排水条件、地块平整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30年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承包经营权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经营权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四、基准地价表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  宁陕县农用地（耕地）基准地价表</w:t>
      </w:r>
    </w:p>
    <w:tbl>
      <w:tblPr>
        <w:tblStyle w:val="5"/>
        <w:tblW w:w="83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112"/>
        <w:gridCol w:w="928"/>
        <w:gridCol w:w="893"/>
        <w:gridCol w:w="893"/>
        <w:gridCol w:w="928"/>
        <w:gridCol w:w="1040"/>
        <w:gridCol w:w="885"/>
        <w:gridCol w:w="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3826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旱地</w:t>
            </w:r>
          </w:p>
        </w:tc>
        <w:tc>
          <w:tcPr>
            <w:tcW w:w="377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水田、水浇地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承包经营权（30年）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经营权（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年）</w:t>
            </w:r>
          </w:p>
        </w:tc>
        <w:tc>
          <w:tcPr>
            <w:tcW w:w="196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承包经营权（30年）</w:t>
            </w:r>
          </w:p>
        </w:tc>
        <w:tc>
          <w:tcPr>
            <w:tcW w:w="181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经营权（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元/亩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元/㎡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元/亩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元/㎡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元/亩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元/亩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元/㎡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17600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26.4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2650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19360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29.04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13580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20.37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2200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14938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22.41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10400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1.57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11440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7250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10.88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0.89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7975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0.98</w:t>
            </w:r>
          </w:p>
        </w:tc>
      </w:tr>
    </w:tbl>
    <w:p>
      <w:pPr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4501E"/>
    <w:rsid w:val="4AB514B1"/>
    <w:rsid w:val="5C28186B"/>
    <w:rsid w:val="63CA7836"/>
    <w:rsid w:val="68447A06"/>
    <w:rsid w:val="6E6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3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图表"/>
    <w:basedOn w:val="1"/>
    <w:qFormat/>
    <w:uiPriority w:val="0"/>
    <w:pPr>
      <w:widowControl/>
      <w:spacing w:line="240" w:lineRule="atLeast"/>
      <w:ind w:firstLine="0" w:firstLineChars="0"/>
      <w:jc w:val="center"/>
    </w:pPr>
    <w:rPr>
      <w:rFonts w:cs="宋体"/>
      <w:color w:val="000000" w:themeColor="text1"/>
      <w:kern w:val="0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766</Characters>
  <Lines>0</Lines>
  <Paragraphs>0</Paragraphs>
  <TotalTime>3</TotalTime>
  <ScaleCrop>false</ScaleCrop>
  <LinksUpToDate>false</LinksUpToDate>
  <CharactersWithSpaces>771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2021-12-24T02:16:00Z</dcterms:created>
  <dc:creator>zky</dc:creator>
  <cp:lastModifiedBy>Administrator</cp:lastModifiedBy>
  <cp:lastPrinted>2022-01-10T07:29:00Z</cp:lastPrinted>
  <dcterms:modified xsi:type="dcterms:W3CDTF">2022-03-25T02:04:42Z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A27AD65B1EAB46A2BCC6954729342334</vt:lpwstr>
  </property>
</Properties>
</file>