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after="0" w:line="540" w:lineRule="exact"/>
        <w:ind w:firstLine="0" w:firstLineChars="0"/>
        <w:jc w:val="left"/>
        <w:textAlignment w:val="auto"/>
        <w:rPr>
          <w:rFonts w:hint="eastAsia" w:ascii="黑体" w:hAnsi="黑体" w:eastAsia="黑体" w:cs="黑体"/>
          <w:b w:val="0"/>
          <w:bCs/>
        </w:rPr>
      </w:pPr>
      <w:r>
        <w:rPr>
          <w:rFonts w:hint="eastAsia" w:ascii="黑体" w:hAnsi="黑体" w:eastAsia="黑体" w:cs="黑体"/>
          <w:b w:val="0"/>
          <w:bCs/>
        </w:rPr>
        <w:t>附件</w:t>
      </w:r>
      <w:r>
        <w:rPr>
          <w:rFonts w:hint="eastAsia" w:ascii="黑体" w:hAnsi="黑体" w:eastAsia="黑体" w:cs="黑体"/>
          <w:b w:val="0"/>
          <w:bCs/>
          <w:lang w:val="en-US" w:eastAsia="zh-CN"/>
        </w:rPr>
        <w:t>3</w:t>
      </w:r>
      <w:r>
        <w:rPr>
          <w:rFonts w:hint="eastAsia" w:ascii="黑体" w:hAnsi="黑体" w:eastAsia="黑体" w:cs="黑体"/>
          <w:b w:val="0"/>
          <w:bCs/>
        </w:rPr>
        <w:t>：</w:t>
      </w:r>
    </w:p>
    <w:p>
      <w:pPr>
        <w:pStyle w:val="2"/>
        <w:keepNext w:val="0"/>
        <w:keepLines w:val="0"/>
        <w:pageBreakBefore w:val="0"/>
        <w:widowControl w:val="0"/>
        <w:kinsoku/>
        <w:wordWrap/>
        <w:overflowPunct/>
        <w:topLinePunct w:val="0"/>
        <w:autoSpaceDE/>
        <w:autoSpaceDN/>
        <w:bidi w:val="0"/>
        <w:adjustRightInd/>
        <w:snapToGrid w:val="0"/>
        <w:spacing w:after="0" w:line="560" w:lineRule="exact"/>
        <w:ind w:firstLine="0" w:firstLineChars="0"/>
        <w:jc w:val="left"/>
        <w:textAlignment w:val="auto"/>
        <w:outlineLvl w:val="9"/>
        <w:rPr>
          <w:rFonts w:hint="eastAsia" w:ascii="黑体" w:hAnsi="黑体" w:eastAsia="黑体" w:cs="黑体"/>
          <w:b w:val="0"/>
          <w:bCs/>
        </w:rPr>
      </w:pPr>
    </w:p>
    <w:p>
      <w:pPr>
        <w:pStyle w:val="2"/>
        <w:keepNext w:val="0"/>
        <w:keepLines w:val="0"/>
        <w:pageBreakBefore w:val="0"/>
        <w:widowControl w:val="0"/>
        <w:kinsoku/>
        <w:wordWrap/>
        <w:overflowPunct/>
        <w:topLinePunct w:val="0"/>
        <w:autoSpaceDE/>
        <w:autoSpaceDN/>
        <w:bidi w:val="0"/>
        <w:adjustRightInd/>
        <w:snapToGrid w:val="0"/>
        <w:spacing w:after="0" w:line="560" w:lineRule="exact"/>
        <w:ind w:firstLine="0" w:firstLineChars="0"/>
        <w:jc w:val="center"/>
        <w:textAlignment w:val="auto"/>
        <w:outlineLvl w:val="9"/>
        <w:rPr>
          <w:rFonts w:hint="eastAsia" w:ascii="方正小标宋简体" w:hAnsi="方正小标宋简体" w:eastAsia="方正小标宋简体" w:cs="方正小标宋简体"/>
          <w:b w:val="0"/>
          <w:bCs/>
          <w:spacing w:val="0"/>
          <w:sz w:val="44"/>
          <w:szCs w:val="44"/>
        </w:rPr>
      </w:pPr>
      <w:r>
        <w:rPr>
          <w:rFonts w:hint="eastAsia" w:ascii="方正小标宋简体" w:hAnsi="方正小标宋简体" w:eastAsia="方正小标宋简体" w:cs="方正小标宋简体"/>
          <w:b w:val="0"/>
          <w:bCs/>
          <w:spacing w:val="0"/>
          <w:sz w:val="44"/>
          <w:szCs w:val="44"/>
          <w:lang w:val="en-US" w:eastAsia="zh-CN"/>
        </w:rPr>
        <w:t>宁陕县</w:t>
      </w:r>
      <w:r>
        <w:rPr>
          <w:rFonts w:hint="eastAsia" w:ascii="方正小标宋简体" w:hAnsi="方正小标宋简体" w:eastAsia="方正小标宋简体" w:cs="方正小标宋简体"/>
          <w:b w:val="0"/>
          <w:bCs/>
          <w:spacing w:val="0"/>
          <w:sz w:val="44"/>
          <w:szCs w:val="44"/>
        </w:rPr>
        <w:t>2019年</w:t>
      </w:r>
      <w:r>
        <w:rPr>
          <w:rFonts w:hint="eastAsia" w:ascii="方正小标宋简体" w:hAnsi="方正小标宋简体" w:eastAsia="方正小标宋简体" w:cs="方正小标宋简体"/>
          <w:b w:val="0"/>
          <w:bCs/>
          <w:spacing w:val="0"/>
          <w:sz w:val="44"/>
          <w:szCs w:val="44"/>
          <w:lang w:eastAsia="zh-CN"/>
        </w:rPr>
        <w:t>度</w:t>
      </w:r>
      <w:r>
        <w:rPr>
          <w:rFonts w:hint="eastAsia" w:ascii="方正小标宋简体" w:hAnsi="方正小标宋简体" w:eastAsia="方正小标宋简体" w:cs="方正小标宋简体"/>
          <w:b w:val="0"/>
          <w:bCs/>
          <w:spacing w:val="0"/>
          <w:sz w:val="44"/>
          <w:szCs w:val="44"/>
          <w:lang w:val="en-US" w:eastAsia="zh-CN"/>
        </w:rPr>
        <w:t>集体建设用地</w:t>
      </w:r>
      <w:r>
        <w:rPr>
          <w:rFonts w:hint="eastAsia" w:ascii="方正小标宋简体" w:hAnsi="方正小标宋简体" w:eastAsia="方正小标宋简体" w:cs="方正小标宋简体"/>
          <w:b w:val="0"/>
          <w:bCs/>
          <w:spacing w:val="0"/>
          <w:sz w:val="44"/>
          <w:szCs w:val="44"/>
        </w:rPr>
        <w:t>定级与基准</w:t>
      </w:r>
    </w:p>
    <w:p>
      <w:pPr>
        <w:pStyle w:val="2"/>
        <w:keepNext w:val="0"/>
        <w:keepLines w:val="0"/>
        <w:pageBreakBefore w:val="0"/>
        <w:widowControl w:val="0"/>
        <w:kinsoku/>
        <w:wordWrap/>
        <w:overflowPunct/>
        <w:topLinePunct w:val="0"/>
        <w:autoSpaceDE/>
        <w:autoSpaceDN/>
        <w:bidi w:val="0"/>
        <w:adjustRightInd/>
        <w:snapToGrid w:val="0"/>
        <w:spacing w:after="0" w:line="560" w:lineRule="exact"/>
        <w:ind w:firstLine="0" w:firstLineChars="0"/>
        <w:jc w:val="center"/>
        <w:textAlignment w:val="auto"/>
        <w:outlineLvl w:val="9"/>
        <w:rPr>
          <w:rFonts w:hint="eastAsia" w:ascii="方正小标宋简体" w:hAnsi="方正小标宋简体" w:eastAsia="方正小标宋简体" w:cs="方正小标宋简体"/>
          <w:b w:val="0"/>
          <w:bCs/>
          <w:spacing w:val="0"/>
          <w:sz w:val="44"/>
          <w:szCs w:val="44"/>
        </w:rPr>
      </w:pPr>
      <w:r>
        <w:rPr>
          <w:rFonts w:hint="eastAsia" w:ascii="方正小标宋简体" w:hAnsi="方正小标宋简体" w:eastAsia="方正小标宋简体" w:cs="方正小标宋简体"/>
          <w:b w:val="0"/>
          <w:bCs/>
          <w:spacing w:val="0"/>
          <w:sz w:val="44"/>
          <w:szCs w:val="44"/>
        </w:rPr>
        <w:t>地价评估基本内容</w:t>
      </w:r>
    </w:p>
    <w:p>
      <w:pPr>
        <w:keepNext w:val="0"/>
        <w:keepLines w:val="0"/>
        <w:pageBreakBefore w:val="0"/>
        <w:widowControl w:val="0"/>
        <w:kinsoku/>
        <w:wordWrap/>
        <w:overflowPunct/>
        <w:topLinePunct w:val="0"/>
        <w:autoSpaceDE/>
        <w:autoSpaceDN/>
        <w:bidi w:val="0"/>
        <w:adjustRightInd/>
        <w:snapToGrid w:val="0"/>
        <w:spacing w:line="560" w:lineRule="exact"/>
        <w:ind w:firstLine="0" w:firstLineChars="0"/>
        <w:textAlignment w:val="auto"/>
        <w:outlineLvl w:val="9"/>
        <w:rPr>
          <w:b w:val="0"/>
          <w:bCs/>
          <w:szCs w:val="28"/>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一、制订范围</w:t>
      </w:r>
    </w:p>
    <w:p>
      <w:pPr>
        <w:keepNext w:val="0"/>
        <w:keepLines w:val="0"/>
        <w:pageBreakBefore w:val="0"/>
        <w:widowControl w:val="0"/>
        <w:kinsoku/>
        <w:wordWrap/>
        <w:overflowPunct/>
        <w:topLinePunct w:val="0"/>
        <w:autoSpaceDE/>
        <w:autoSpaceDN/>
        <w:bidi w:val="0"/>
        <w:adjustRightInd/>
        <w:snapToGrid w:val="0"/>
        <w:spacing w:line="560" w:lineRule="exact"/>
        <w:ind w:firstLine="56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w:t>
      </w:r>
      <w:r>
        <w:rPr>
          <w:rFonts w:hint="eastAsia" w:ascii="仿宋_GB2312" w:hAnsi="仿宋_GB2312" w:eastAsia="仿宋_GB2312" w:cs="仿宋_GB2312"/>
          <w:sz w:val="32"/>
          <w:szCs w:val="32"/>
          <w:lang w:val="en-US" w:eastAsia="zh-CN"/>
        </w:rPr>
        <w:t>宁陕县集体建设用地</w:t>
      </w:r>
      <w:r>
        <w:rPr>
          <w:rFonts w:hint="eastAsia" w:ascii="仿宋_GB2312" w:hAnsi="仿宋_GB2312" w:eastAsia="仿宋_GB2312" w:cs="仿宋_GB2312"/>
          <w:sz w:val="32"/>
          <w:szCs w:val="32"/>
        </w:rPr>
        <w:t>定级与基准地价评估的工作范围为</w:t>
      </w:r>
      <w:r>
        <w:rPr>
          <w:rFonts w:hint="eastAsia" w:ascii="仿宋_GB2312" w:hAnsi="仿宋_GB2312" w:eastAsia="仿宋_GB2312" w:cs="仿宋_GB2312"/>
          <w:sz w:val="32"/>
          <w:szCs w:val="32"/>
          <w:lang w:val="en-US" w:eastAsia="zh-CN"/>
        </w:rPr>
        <w:t>宁陕县</w:t>
      </w:r>
      <w:r>
        <w:rPr>
          <w:rFonts w:hint="eastAsia" w:ascii="仿宋_GB2312" w:hAnsi="仿宋_GB2312" w:eastAsia="仿宋_GB2312" w:cs="仿宋_GB2312"/>
          <w:sz w:val="32"/>
          <w:szCs w:val="32"/>
        </w:rPr>
        <w:t>整个行政辖区，工作对象为范围内所有</w:t>
      </w:r>
      <w:r>
        <w:rPr>
          <w:rFonts w:hint="eastAsia" w:ascii="仿宋_GB2312" w:hAnsi="仿宋_GB2312" w:eastAsia="仿宋_GB2312" w:cs="仿宋_GB2312"/>
          <w:sz w:val="32"/>
          <w:szCs w:val="32"/>
          <w:lang w:val="en-US" w:eastAsia="zh-CN"/>
        </w:rPr>
        <w:t>集体建设用地</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黑体" w:hAnsi="黑体" w:eastAsia="黑体" w:cs="黑体"/>
          <w:b w:val="0"/>
          <w:bCs/>
          <w:sz w:val="32"/>
          <w:szCs w:val="32"/>
          <w:lang w:eastAsia="zh-CN"/>
        </w:rPr>
      </w:pPr>
      <w:r>
        <w:rPr>
          <w:rFonts w:hint="eastAsia" w:ascii="黑体" w:hAnsi="黑体" w:eastAsia="黑体" w:cs="黑体"/>
          <w:b w:val="0"/>
          <w:bCs/>
          <w:sz w:val="32"/>
          <w:szCs w:val="32"/>
          <w:lang w:val="en-US" w:eastAsia="zh-CN"/>
        </w:rPr>
        <w:t>二</w:t>
      </w:r>
      <w:r>
        <w:rPr>
          <w:rFonts w:hint="eastAsia" w:ascii="黑体" w:hAnsi="黑体" w:eastAsia="黑体" w:cs="黑体"/>
          <w:b w:val="0"/>
          <w:bCs/>
          <w:sz w:val="32"/>
          <w:szCs w:val="32"/>
        </w:rPr>
        <w:t>、</w:t>
      </w:r>
      <w:r>
        <w:rPr>
          <w:rFonts w:hint="eastAsia" w:ascii="黑体" w:hAnsi="黑体" w:eastAsia="黑体" w:cs="黑体"/>
          <w:b w:val="0"/>
          <w:bCs/>
          <w:sz w:val="32"/>
          <w:szCs w:val="32"/>
          <w:lang w:val="en-US" w:eastAsia="zh-CN"/>
        </w:rPr>
        <w:t>土地级别范围说明</w:t>
      </w:r>
    </w:p>
    <w:p>
      <w:pPr>
        <w:keepNext w:val="0"/>
        <w:keepLines w:val="0"/>
        <w:pageBreakBefore w:val="0"/>
        <w:widowControl w:val="0"/>
        <w:kinsoku/>
        <w:wordWrap/>
        <w:overflowPunct/>
        <w:topLinePunct w:val="0"/>
        <w:autoSpaceDE/>
        <w:autoSpaceDN/>
        <w:bidi w:val="0"/>
        <w:adjustRightInd/>
        <w:snapToGrid w:val="0"/>
        <w:spacing w:line="560" w:lineRule="exact"/>
        <w:ind w:firstLine="56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宁陕县集体</w:t>
      </w:r>
      <w:r>
        <w:rPr>
          <w:rFonts w:hint="eastAsia" w:ascii="仿宋_GB2312" w:hAnsi="仿宋_GB2312" w:eastAsia="仿宋_GB2312" w:cs="仿宋_GB2312"/>
          <w:sz w:val="32"/>
          <w:szCs w:val="32"/>
          <w:lang w:val="en-US" w:eastAsia="zh-CN"/>
        </w:rPr>
        <w:t>建设</w:t>
      </w:r>
      <w:r>
        <w:rPr>
          <w:rFonts w:hint="eastAsia" w:ascii="仿宋_GB2312" w:hAnsi="仿宋_GB2312" w:eastAsia="仿宋_GB2312" w:cs="仿宋_GB2312"/>
          <w:sz w:val="32"/>
          <w:szCs w:val="32"/>
        </w:rPr>
        <w:t>用地共划分</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个级别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一级区域全部分布在中心城区周边范围内，仅涉及城关镇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一级地占土地总面积的0.74%；</w:t>
      </w:r>
      <w:r>
        <w:rPr>
          <w:rFonts w:hint="eastAsia" w:ascii="仿宋_GB2312" w:hAnsi="仿宋_GB2312" w:eastAsia="仿宋_GB2312" w:cs="仿宋_GB2312"/>
          <w:sz w:val="32"/>
          <w:szCs w:val="32"/>
        </w:rPr>
        <w:t>二级区域主要分布在城关镇、筒车湾镇、江口回族镇及广货街镇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占土地总面积的5.11%；三级地及四级地全县各镇均有分布，其中</w:t>
      </w:r>
      <w:r>
        <w:rPr>
          <w:rFonts w:hint="eastAsia" w:ascii="仿宋_GB2312" w:hAnsi="仿宋_GB2312" w:cs="仿宋_GB2312"/>
          <w:sz w:val="32"/>
          <w:szCs w:val="32"/>
          <w:lang w:val="en-US" w:eastAsia="zh-CN"/>
        </w:rPr>
        <w:t>:</w:t>
      </w:r>
      <w:bookmarkStart w:id="0" w:name="_GoBack"/>
      <w:bookmarkEnd w:id="0"/>
      <w:r>
        <w:rPr>
          <w:rFonts w:hint="eastAsia" w:ascii="仿宋_GB2312" w:hAnsi="仿宋_GB2312" w:eastAsia="仿宋_GB2312" w:cs="仿宋_GB2312"/>
          <w:sz w:val="32"/>
          <w:szCs w:val="32"/>
          <w:lang w:val="en-US" w:eastAsia="zh-CN"/>
        </w:rPr>
        <w:t>三级地占土地总面积的14.54%，四级地占土地总面积的79.61%。</w:t>
      </w:r>
      <w:r>
        <w:rPr>
          <w:rFonts w:hint="eastAsia" w:ascii="仿宋_GB2312" w:hAnsi="仿宋_GB2312" w:eastAsia="仿宋_GB2312" w:cs="仿宋_GB2312"/>
          <w:sz w:val="32"/>
          <w:szCs w:val="32"/>
        </w:rPr>
        <w:t>具体土地级别以</w:t>
      </w:r>
      <w:r>
        <w:rPr>
          <w:rFonts w:hint="eastAsia" w:ascii="仿宋_GB2312" w:hAnsi="仿宋_GB2312" w:eastAsia="仿宋_GB2312" w:cs="仿宋_GB2312"/>
          <w:sz w:val="32"/>
          <w:szCs w:val="32"/>
          <w:lang w:val="en-US" w:eastAsia="zh-CN"/>
        </w:rPr>
        <w:t>宁陕县集体建设用地</w:t>
      </w:r>
      <w:r>
        <w:rPr>
          <w:rFonts w:hint="eastAsia" w:ascii="仿宋_GB2312" w:hAnsi="仿宋_GB2312" w:eastAsia="仿宋_GB2312" w:cs="仿宋_GB2312"/>
          <w:sz w:val="32"/>
          <w:szCs w:val="32"/>
        </w:rPr>
        <w:t>基准地价图为准。</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三、基准地价内涵</w:t>
      </w:r>
    </w:p>
    <w:p>
      <w:pPr>
        <w:keepNext w:val="0"/>
        <w:keepLines w:val="0"/>
        <w:pageBreakBefore w:val="0"/>
        <w:widowControl w:val="0"/>
        <w:kinsoku/>
        <w:wordWrap/>
        <w:overflowPunct/>
        <w:topLinePunct w:val="0"/>
        <w:autoSpaceDE/>
        <w:autoSpaceDN/>
        <w:bidi w:val="0"/>
        <w:adjustRightInd/>
        <w:snapToGrid w:val="0"/>
        <w:spacing w:line="560" w:lineRule="exact"/>
        <w:ind w:firstLine="560"/>
        <w:textAlignment w:val="auto"/>
        <w:outlineLvl w:val="9"/>
        <w:rPr>
          <w:sz w:val="32"/>
          <w:szCs w:val="32"/>
        </w:rPr>
      </w:pPr>
      <w:r>
        <w:rPr>
          <w:sz w:val="32"/>
          <w:szCs w:val="32"/>
        </w:rPr>
        <w:t>依据中国土地估价师与土地登记代理人协会</w:t>
      </w:r>
      <w:r>
        <w:rPr>
          <w:rFonts w:hint="eastAsia"/>
          <w:sz w:val="32"/>
          <w:szCs w:val="32"/>
          <w:lang w:eastAsia="zh-CN"/>
        </w:rPr>
        <w:t>印发的《</w:t>
      </w:r>
      <w:r>
        <w:rPr>
          <w:sz w:val="32"/>
          <w:szCs w:val="32"/>
        </w:rPr>
        <w:t>农村集体土地价格评估技术指引</w:t>
      </w:r>
      <w:r>
        <w:rPr>
          <w:rFonts w:hint="eastAsia"/>
          <w:sz w:val="32"/>
          <w:szCs w:val="32"/>
          <w:lang w:eastAsia="zh-CN"/>
        </w:rPr>
        <w:t>》</w:t>
      </w:r>
      <w:r>
        <w:rPr>
          <w:sz w:val="32"/>
          <w:szCs w:val="32"/>
        </w:rPr>
        <w:t>，</w:t>
      </w:r>
      <w:r>
        <w:rPr>
          <w:rFonts w:hint="eastAsia"/>
          <w:sz w:val="32"/>
          <w:szCs w:val="32"/>
        </w:rPr>
        <w:t>本次制订的</w:t>
      </w:r>
      <w:r>
        <w:rPr>
          <w:rFonts w:hint="eastAsia"/>
          <w:sz w:val="32"/>
          <w:szCs w:val="32"/>
          <w:lang w:val="en-US" w:eastAsia="zh-CN"/>
        </w:rPr>
        <w:t>宁陕县集体建设用地</w:t>
      </w:r>
      <w:r>
        <w:rPr>
          <w:rFonts w:hint="eastAsia"/>
          <w:sz w:val="32"/>
          <w:szCs w:val="32"/>
        </w:rPr>
        <w:t>基准地价</w:t>
      </w:r>
      <w:r>
        <w:rPr>
          <w:sz w:val="32"/>
          <w:szCs w:val="32"/>
        </w:rPr>
        <w:t>内涵如下表所示：</w:t>
      </w:r>
    </w:p>
    <w:p>
      <w:pPr>
        <w:pStyle w:val="2"/>
        <w:keepNext w:val="0"/>
        <w:keepLines w:val="0"/>
        <w:pageBreakBefore w:val="0"/>
        <w:widowControl w:val="0"/>
        <w:kinsoku/>
        <w:wordWrap/>
        <w:overflowPunct/>
        <w:topLinePunct w:val="0"/>
        <w:autoSpaceDE/>
        <w:autoSpaceDN/>
        <w:bidi w:val="0"/>
        <w:adjustRightInd/>
        <w:snapToGrid/>
        <w:spacing w:before="157" w:beforeLines="50" w:after="0" w:line="240" w:lineRule="auto"/>
        <w:ind w:firstLine="0" w:firstLineChars="0"/>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eastAsia="zh-CN"/>
        </w:rPr>
        <w:t>表</w:t>
      </w:r>
      <w:r>
        <w:rPr>
          <w:rFonts w:hint="eastAsia" w:ascii="黑体" w:hAnsi="黑体" w:eastAsia="黑体" w:cs="黑体"/>
          <w:sz w:val="24"/>
          <w:szCs w:val="24"/>
          <w:lang w:val="en-US" w:eastAsia="zh-CN"/>
        </w:rPr>
        <w:t>1  宁陕县集体建设用地基准地价内涵表</w:t>
      </w:r>
    </w:p>
    <w:tbl>
      <w:tblPr>
        <w:tblStyle w:val="5"/>
        <w:tblW w:w="852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53"/>
        <w:gridCol w:w="1662"/>
        <w:gridCol w:w="1816"/>
        <w:gridCol w:w="28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153" w:type="dxa"/>
            <w:vMerge w:val="restart"/>
            <w:vAlign w:val="center"/>
          </w:tcPr>
          <w:p>
            <w:pPr>
              <w:pStyle w:val="7"/>
              <w:ind w:firstLine="0" w:firstLineChars="0"/>
              <w:rPr>
                <w:rFonts w:ascii="Times New Roman" w:hAnsi="Times New Roman" w:eastAsia="仿宋_GB2312" w:cs="宋体"/>
                <w:b/>
                <w:bCs/>
                <w:color w:val="000000" w:themeColor="text1"/>
                <w:kern w:val="0"/>
                <w:sz w:val="24"/>
                <w:szCs w:val="24"/>
                <w:lang w:val="en-US" w:eastAsia="zh-CN" w:bidi="ar-SA"/>
                <w14:textFill>
                  <w14:solidFill>
                    <w14:schemeClr w14:val="tx1"/>
                  </w14:solidFill>
                </w14:textFill>
              </w:rPr>
            </w:pPr>
            <w:r>
              <w:rPr>
                <w:b/>
                <w:bCs/>
                <w:sz w:val="24"/>
              </w:rPr>
              <w:t>土地用途</w:t>
            </w:r>
          </w:p>
        </w:tc>
        <w:tc>
          <w:tcPr>
            <w:tcW w:w="3478" w:type="dxa"/>
            <w:gridSpan w:val="2"/>
            <w:shd w:val="clear" w:color="auto" w:fill="auto"/>
            <w:vAlign w:val="center"/>
          </w:tcPr>
          <w:p>
            <w:pPr>
              <w:pStyle w:val="7"/>
              <w:rPr>
                <w:rFonts w:hint="default" w:eastAsia="仿宋_GB2312"/>
                <w:b/>
                <w:bCs/>
                <w:sz w:val="24"/>
                <w:lang w:val="en-US" w:eastAsia="zh-CN"/>
              </w:rPr>
            </w:pPr>
            <w:r>
              <w:rPr>
                <w:rFonts w:hint="eastAsia"/>
                <w:b/>
                <w:bCs/>
                <w:sz w:val="24"/>
                <w:lang w:val="en-US" w:eastAsia="zh-CN"/>
              </w:rPr>
              <w:t>集体经营性建设用地</w:t>
            </w:r>
          </w:p>
        </w:tc>
        <w:tc>
          <w:tcPr>
            <w:tcW w:w="2891" w:type="dxa"/>
            <w:vMerge w:val="restart"/>
            <w:shd w:val="clear" w:color="auto" w:fill="auto"/>
            <w:vAlign w:val="center"/>
          </w:tcPr>
          <w:p>
            <w:pPr>
              <w:pStyle w:val="7"/>
              <w:ind w:firstLine="0" w:firstLineChars="0"/>
              <w:rPr>
                <w:rFonts w:ascii="Times New Roman" w:hAnsi="Times New Roman" w:eastAsia="仿宋_GB2312" w:cs="宋体"/>
                <w:b/>
                <w:bCs/>
                <w:color w:val="000000" w:themeColor="text1"/>
                <w:kern w:val="0"/>
                <w:sz w:val="24"/>
                <w:szCs w:val="24"/>
                <w:lang w:val="en-US" w:eastAsia="zh-CN" w:bidi="ar-SA"/>
                <w14:textFill>
                  <w14:solidFill>
                    <w14:schemeClr w14:val="tx1"/>
                  </w14:solidFill>
                </w14:textFill>
              </w:rPr>
            </w:pPr>
            <w:r>
              <w:rPr>
                <w:b/>
                <w:bCs/>
                <w:sz w:val="24"/>
              </w:rPr>
              <w:t>宅基地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153" w:type="dxa"/>
            <w:vMerge w:val="continue"/>
            <w:vAlign w:val="center"/>
          </w:tcPr>
          <w:p>
            <w:pPr>
              <w:pStyle w:val="7"/>
              <w:ind w:firstLine="0" w:firstLineChars="0"/>
              <w:rPr>
                <w:rFonts w:ascii="Times New Roman" w:hAnsi="Times New Roman" w:eastAsia="仿宋_GB2312" w:cs="宋体"/>
                <w:b/>
                <w:bCs/>
                <w:color w:val="000000" w:themeColor="text1"/>
                <w:kern w:val="0"/>
                <w:sz w:val="24"/>
                <w:szCs w:val="24"/>
                <w:lang w:val="en-US" w:eastAsia="zh-CN" w:bidi="ar-SA"/>
                <w14:textFill>
                  <w14:solidFill>
                    <w14:schemeClr w14:val="tx1"/>
                  </w14:solidFill>
                </w14:textFill>
              </w:rPr>
            </w:pPr>
          </w:p>
        </w:tc>
        <w:tc>
          <w:tcPr>
            <w:tcW w:w="1662" w:type="dxa"/>
            <w:shd w:val="clear" w:color="auto" w:fill="auto"/>
            <w:vAlign w:val="center"/>
          </w:tcPr>
          <w:p>
            <w:pPr>
              <w:pStyle w:val="7"/>
              <w:ind w:firstLine="0" w:firstLineChars="0"/>
              <w:rPr>
                <w:rFonts w:ascii="Times New Roman" w:hAnsi="Times New Roman" w:eastAsia="仿宋_GB2312" w:cs="宋体"/>
                <w:b/>
                <w:bCs/>
                <w:color w:val="000000" w:themeColor="text1"/>
                <w:kern w:val="0"/>
                <w:sz w:val="24"/>
                <w:szCs w:val="24"/>
                <w:lang w:val="en-US" w:eastAsia="zh-CN" w:bidi="ar-SA"/>
                <w14:textFill>
                  <w14:solidFill>
                    <w14:schemeClr w14:val="tx1"/>
                  </w14:solidFill>
                </w14:textFill>
              </w:rPr>
            </w:pPr>
            <w:r>
              <w:rPr>
                <w:b/>
                <w:bCs/>
                <w:sz w:val="24"/>
              </w:rPr>
              <w:t>商服用地</w:t>
            </w:r>
          </w:p>
        </w:tc>
        <w:tc>
          <w:tcPr>
            <w:tcW w:w="1816" w:type="dxa"/>
            <w:shd w:val="clear" w:color="auto" w:fill="auto"/>
            <w:vAlign w:val="center"/>
          </w:tcPr>
          <w:p>
            <w:pPr>
              <w:pStyle w:val="7"/>
              <w:ind w:firstLine="0" w:firstLineChars="0"/>
              <w:rPr>
                <w:rFonts w:hint="eastAsia" w:ascii="Times New Roman" w:hAnsi="Times New Roman" w:eastAsia="仿宋_GB2312" w:cs="宋体"/>
                <w:b/>
                <w:bCs/>
                <w:color w:val="000000" w:themeColor="text1"/>
                <w:kern w:val="0"/>
                <w:sz w:val="24"/>
                <w:szCs w:val="24"/>
                <w:lang w:val="en-US" w:eastAsia="zh-CN" w:bidi="ar-SA"/>
                <w14:textFill>
                  <w14:solidFill>
                    <w14:schemeClr w14:val="tx1"/>
                  </w14:solidFill>
                </w14:textFill>
              </w:rPr>
            </w:pPr>
            <w:r>
              <w:rPr>
                <w:rFonts w:hint="eastAsia"/>
                <w:b/>
                <w:bCs/>
                <w:sz w:val="24"/>
                <w:lang w:val="en-US" w:eastAsia="zh-CN"/>
              </w:rPr>
              <w:t>工业用地</w:t>
            </w:r>
          </w:p>
        </w:tc>
        <w:tc>
          <w:tcPr>
            <w:tcW w:w="2891" w:type="dxa"/>
            <w:vMerge w:val="continue"/>
            <w:shd w:val="clear" w:color="auto" w:fill="auto"/>
            <w:vAlign w:val="center"/>
          </w:tcPr>
          <w:p>
            <w:pPr>
              <w:pStyle w:val="7"/>
              <w:ind w:firstLine="0" w:firstLineChars="0"/>
              <w:rPr>
                <w:rFonts w:ascii="Times New Roman" w:hAnsi="Times New Roman" w:eastAsia="仿宋_GB2312" w:cs="宋体"/>
                <w:b/>
                <w:bCs/>
                <w:color w:val="000000" w:themeColor="text1"/>
                <w:kern w:val="0"/>
                <w:sz w:val="24"/>
                <w:szCs w:val="24"/>
                <w:lang w:val="en-US" w:eastAsia="zh-CN" w:bidi="ar-SA"/>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153" w:type="dxa"/>
            <w:shd w:val="clear" w:color="auto" w:fill="auto"/>
            <w:vAlign w:val="center"/>
          </w:tcPr>
          <w:p>
            <w:pPr>
              <w:widowControl/>
              <w:spacing w:line="240" w:lineRule="auto"/>
              <w:ind w:firstLine="0" w:firstLineChars="0"/>
              <w:jc w:val="center"/>
              <w:rPr>
                <w:rFonts w:hint="eastAsia"/>
                <w:kern w:val="0"/>
                <w:sz w:val="24"/>
                <w:szCs w:val="24"/>
              </w:rPr>
            </w:pPr>
            <w:r>
              <w:rPr>
                <w:rFonts w:hint="eastAsia"/>
                <w:kern w:val="0"/>
                <w:sz w:val="24"/>
                <w:szCs w:val="24"/>
              </w:rPr>
              <w:t>基准日</w:t>
            </w:r>
          </w:p>
        </w:tc>
        <w:tc>
          <w:tcPr>
            <w:tcW w:w="6369" w:type="dxa"/>
            <w:gridSpan w:val="3"/>
            <w:shd w:val="clear" w:color="auto" w:fill="auto"/>
            <w:vAlign w:val="center"/>
          </w:tcPr>
          <w:p>
            <w:pPr>
              <w:widowControl/>
              <w:spacing w:line="240" w:lineRule="auto"/>
              <w:ind w:firstLine="0" w:firstLineChars="0"/>
              <w:jc w:val="center"/>
              <w:rPr>
                <w:rFonts w:hint="eastAsia"/>
                <w:kern w:val="0"/>
                <w:sz w:val="24"/>
                <w:szCs w:val="24"/>
              </w:rPr>
            </w:pPr>
            <w:r>
              <w:rPr>
                <w:rFonts w:hint="eastAsia"/>
                <w:kern w:val="0"/>
                <w:sz w:val="24"/>
                <w:szCs w:val="24"/>
              </w:rPr>
              <w:t>2019年12月31日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153" w:type="dxa"/>
            <w:shd w:val="clear" w:color="auto" w:fill="auto"/>
            <w:vAlign w:val="center"/>
          </w:tcPr>
          <w:p>
            <w:pPr>
              <w:widowControl/>
              <w:spacing w:line="240" w:lineRule="auto"/>
              <w:ind w:firstLine="0" w:firstLineChars="0"/>
              <w:jc w:val="center"/>
              <w:rPr>
                <w:rFonts w:hint="eastAsia"/>
                <w:kern w:val="0"/>
                <w:sz w:val="24"/>
                <w:szCs w:val="24"/>
              </w:rPr>
            </w:pPr>
            <w:r>
              <w:rPr>
                <w:rFonts w:hint="eastAsia"/>
                <w:kern w:val="0"/>
                <w:sz w:val="24"/>
                <w:szCs w:val="24"/>
              </w:rPr>
              <w:t>平均容积率</w:t>
            </w:r>
          </w:p>
        </w:tc>
        <w:tc>
          <w:tcPr>
            <w:tcW w:w="1662" w:type="dxa"/>
            <w:shd w:val="clear" w:color="auto" w:fill="auto"/>
            <w:vAlign w:val="center"/>
          </w:tcPr>
          <w:p>
            <w:pPr>
              <w:widowControl/>
              <w:spacing w:line="240" w:lineRule="auto"/>
              <w:ind w:firstLine="0" w:firstLineChars="0"/>
              <w:jc w:val="center"/>
              <w:rPr>
                <w:rFonts w:hint="eastAsia"/>
                <w:kern w:val="0"/>
                <w:sz w:val="24"/>
                <w:szCs w:val="24"/>
              </w:rPr>
            </w:pPr>
            <w:r>
              <w:rPr>
                <w:rFonts w:hint="eastAsia"/>
                <w:kern w:val="0"/>
                <w:sz w:val="24"/>
                <w:szCs w:val="24"/>
              </w:rPr>
              <w:t>1.2</w:t>
            </w:r>
          </w:p>
        </w:tc>
        <w:tc>
          <w:tcPr>
            <w:tcW w:w="1816" w:type="dxa"/>
            <w:shd w:val="clear" w:color="auto" w:fill="auto"/>
            <w:vAlign w:val="center"/>
          </w:tcPr>
          <w:p>
            <w:pPr>
              <w:widowControl/>
              <w:spacing w:line="240" w:lineRule="auto"/>
              <w:ind w:firstLine="0" w:firstLineChars="0"/>
              <w:jc w:val="center"/>
              <w:rPr>
                <w:rFonts w:hint="eastAsia" w:eastAsia="仿宋_GB2312"/>
                <w:kern w:val="0"/>
                <w:sz w:val="24"/>
                <w:szCs w:val="24"/>
                <w:lang w:eastAsia="zh-CN"/>
              </w:rPr>
            </w:pPr>
            <w:r>
              <w:rPr>
                <w:rFonts w:hint="eastAsia"/>
                <w:kern w:val="0"/>
                <w:sz w:val="24"/>
                <w:szCs w:val="24"/>
              </w:rPr>
              <w:t>1.</w:t>
            </w:r>
            <w:r>
              <w:rPr>
                <w:rFonts w:hint="eastAsia"/>
                <w:kern w:val="0"/>
                <w:sz w:val="24"/>
                <w:szCs w:val="24"/>
                <w:lang w:val="en-US" w:eastAsia="zh-CN"/>
              </w:rPr>
              <w:t>0</w:t>
            </w:r>
          </w:p>
        </w:tc>
        <w:tc>
          <w:tcPr>
            <w:tcW w:w="2891" w:type="dxa"/>
            <w:shd w:val="clear" w:color="auto" w:fill="auto"/>
            <w:vAlign w:val="center"/>
          </w:tcPr>
          <w:p>
            <w:pPr>
              <w:widowControl/>
              <w:spacing w:line="240" w:lineRule="auto"/>
              <w:ind w:firstLine="0" w:firstLineChars="0"/>
              <w:jc w:val="center"/>
              <w:rPr>
                <w:rFonts w:hint="eastAsia" w:eastAsia="仿宋_GB2312"/>
                <w:kern w:val="0"/>
                <w:sz w:val="24"/>
                <w:szCs w:val="24"/>
                <w:lang w:eastAsia="zh-CN"/>
              </w:rPr>
            </w:pPr>
            <w:r>
              <w:rPr>
                <w:rFonts w:hint="eastAsia"/>
                <w:kern w:val="0"/>
                <w:sz w:val="24"/>
                <w:szCs w:val="24"/>
              </w:rPr>
              <w:t>1.</w:t>
            </w:r>
            <w:r>
              <w:rPr>
                <w:rFonts w:hint="eastAsia"/>
                <w:kern w:val="0"/>
                <w:sz w:val="24"/>
                <w:szCs w:val="24"/>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153" w:type="dxa"/>
            <w:shd w:val="clear" w:color="auto" w:fill="auto"/>
            <w:vAlign w:val="center"/>
          </w:tcPr>
          <w:p>
            <w:pPr>
              <w:widowControl/>
              <w:spacing w:line="240" w:lineRule="auto"/>
              <w:ind w:firstLine="0" w:firstLineChars="0"/>
              <w:jc w:val="center"/>
              <w:rPr>
                <w:rFonts w:hint="eastAsia"/>
                <w:kern w:val="0"/>
                <w:sz w:val="24"/>
                <w:szCs w:val="24"/>
              </w:rPr>
            </w:pPr>
            <w:r>
              <w:rPr>
                <w:rFonts w:hint="eastAsia"/>
                <w:kern w:val="0"/>
                <w:sz w:val="24"/>
                <w:szCs w:val="24"/>
              </w:rPr>
              <w:t>土地开发程度</w:t>
            </w:r>
          </w:p>
        </w:tc>
        <w:tc>
          <w:tcPr>
            <w:tcW w:w="6369" w:type="dxa"/>
            <w:gridSpan w:val="3"/>
            <w:shd w:val="clear" w:color="auto" w:fill="auto"/>
            <w:vAlign w:val="center"/>
          </w:tcPr>
          <w:p>
            <w:pPr>
              <w:widowControl/>
              <w:spacing w:line="240" w:lineRule="auto"/>
              <w:ind w:firstLine="0" w:firstLineChars="0"/>
              <w:jc w:val="center"/>
              <w:rPr>
                <w:rFonts w:hint="eastAsia"/>
                <w:kern w:val="0"/>
                <w:sz w:val="24"/>
                <w:szCs w:val="24"/>
              </w:rPr>
            </w:pPr>
            <w:r>
              <w:rPr>
                <w:rFonts w:hint="eastAsia"/>
                <w:kern w:val="0"/>
                <w:sz w:val="24"/>
                <w:szCs w:val="24"/>
              </w:rPr>
              <w:t>四通一平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153" w:type="dxa"/>
            <w:shd w:val="clear" w:color="auto" w:fill="auto"/>
            <w:vAlign w:val="center"/>
          </w:tcPr>
          <w:p>
            <w:pPr>
              <w:widowControl/>
              <w:spacing w:line="240" w:lineRule="auto"/>
              <w:ind w:firstLine="0" w:firstLineChars="0"/>
              <w:jc w:val="center"/>
              <w:rPr>
                <w:rFonts w:hint="eastAsia"/>
                <w:kern w:val="0"/>
                <w:sz w:val="24"/>
                <w:szCs w:val="24"/>
              </w:rPr>
            </w:pPr>
            <w:r>
              <w:rPr>
                <w:rFonts w:hint="eastAsia"/>
                <w:kern w:val="0"/>
                <w:sz w:val="24"/>
                <w:szCs w:val="24"/>
              </w:rPr>
              <w:t>法定最高出让年期</w:t>
            </w:r>
          </w:p>
        </w:tc>
        <w:tc>
          <w:tcPr>
            <w:tcW w:w="1662" w:type="dxa"/>
            <w:shd w:val="clear" w:color="auto" w:fill="auto"/>
            <w:vAlign w:val="center"/>
          </w:tcPr>
          <w:p>
            <w:pPr>
              <w:widowControl/>
              <w:spacing w:line="240" w:lineRule="auto"/>
              <w:ind w:firstLine="0" w:firstLineChars="0"/>
              <w:jc w:val="center"/>
              <w:rPr>
                <w:rFonts w:hint="eastAsia"/>
                <w:kern w:val="0"/>
                <w:sz w:val="24"/>
                <w:szCs w:val="24"/>
              </w:rPr>
            </w:pPr>
            <w:r>
              <w:rPr>
                <w:rFonts w:hint="eastAsia"/>
                <w:kern w:val="0"/>
                <w:sz w:val="24"/>
                <w:szCs w:val="24"/>
              </w:rPr>
              <w:t>40年</w:t>
            </w:r>
          </w:p>
        </w:tc>
        <w:tc>
          <w:tcPr>
            <w:tcW w:w="1816" w:type="dxa"/>
            <w:shd w:val="clear" w:color="auto" w:fill="auto"/>
            <w:vAlign w:val="center"/>
          </w:tcPr>
          <w:p>
            <w:pPr>
              <w:widowControl/>
              <w:spacing w:line="240" w:lineRule="auto"/>
              <w:ind w:firstLine="0" w:firstLineChars="0"/>
              <w:jc w:val="center"/>
              <w:rPr>
                <w:rFonts w:hint="default" w:eastAsia="仿宋_GB2312"/>
                <w:kern w:val="0"/>
                <w:sz w:val="24"/>
                <w:szCs w:val="24"/>
                <w:lang w:val="en-US" w:eastAsia="zh-CN"/>
              </w:rPr>
            </w:pPr>
            <w:r>
              <w:rPr>
                <w:rFonts w:hint="eastAsia"/>
                <w:kern w:val="0"/>
                <w:sz w:val="24"/>
                <w:szCs w:val="24"/>
                <w:lang w:val="en-US" w:eastAsia="zh-CN"/>
              </w:rPr>
              <w:t>50年</w:t>
            </w:r>
          </w:p>
        </w:tc>
        <w:tc>
          <w:tcPr>
            <w:tcW w:w="2891" w:type="dxa"/>
            <w:shd w:val="clear" w:color="auto" w:fill="auto"/>
            <w:vAlign w:val="center"/>
          </w:tcPr>
          <w:p>
            <w:pPr>
              <w:widowControl/>
              <w:spacing w:line="240" w:lineRule="auto"/>
              <w:ind w:firstLine="0" w:firstLineChars="0"/>
              <w:jc w:val="center"/>
              <w:rPr>
                <w:rFonts w:hint="eastAsia"/>
                <w:kern w:val="0"/>
                <w:sz w:val="24"/>
                <w:szCs w:val="24"/>
              </w:rPr>
            </w:pPr>
            <w:r>
              <w:rPr>
                <w:rFonts w:hint="eastAsia"/>
                <w:kern w:val="0"/>
                <w:sz w:val="24"/>
                <w:szCs w:val="24"/>
              </w:rPr>
              <w:t>无年期限制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153" w:type="dxa"/>
            <w:shd w:val="clear" w:color="auto" w:fill="auto"/>
            <w:vAlign w:val="center"/>
          </w:tcPr>
          <w:p>
            <w:pPr>
              <w:widowControl/>
              <w:spacing w:line="240" w:lineRule="auto"/>
              <w:ind w:firstLine="0" w:firstLineChars="0"/>
              <w:jc w:val="center"/>
              <w:rPr>
                <w:rFonts w:hint="eastAsia"/>
                <w:kern w:val="0"/>
                <w:sz w:val="24"/>
                <w:szCs w:val="24"/>
              </w:rPr>
            </w:pPr>
            <w:r>
              <w:rPr>
                <w:rFonts w:hint="eastAsia"/>
                <w:kern w:val="0"/>
                <w:sz w:val="24"/>
                <w:szCs w:val="24"/>
              </w:rPr>
              <w:t>权利状况</w:t>
            </w:r>
          </w:p>
        </w:tc>
        <w:tc>
          <w:tcPr>
            <w:tcW w:w="6369" w:type="dxa"/>
            <w:gridSpan w:val="3"/>
            <w:shd w:val="clear" w:color="auto" w:fill="auto"/>
            <w:vAlign w:val="center"/>
          </w:tcPr>
          <w:p>
            <w:pPr>
              <w:widowControl/>
              <w:spacing w:line="240" w:lineRule="auto"/>
              <w:ind w:firstLine="0" w:firstLineChars="0"/>
              <w:jc w:val="left"/>
              <w:rPr>
                <w:rFonts w:hint="eastAsia"/>
                <w:kern w:val="0"/>
                <w:sz w:val="24"/>
                <w:szCs w:val="24"/>
              </w:rPr>
            </w:pPr>
            <w:r>
              <w:rPr>
                <w:rFonts w:hint="eastAsia"/>
                <w:kern w:val="0"/>
                <w:sz w:val="24"/>
                <w:szCs w:val="24"/>
              </w:rPr>
              <w:t>集体经营性建设用地的权利状况为完整权利下的集体建设用地使用权，宅基地的权利状况为服务于本集体经济组织内部的宅基地使用权。</w:t>
            </w:r>
          </w:p>
        </w:tc>
      </w:tr>
    </w:tbl>
    <w:p>
      <w:pPr>
        <w:keepNext w:val="0"/>
        <w:keepLines w:val="0"/>
        <w:pageBreakBefore w:val="0"/>
        <w:widowControl w:val="0"/>
        <w:kinsoku/>
        <w:wordWrap/>
        <w:overflowPunct/>
        <w:topLinePunct w:val="0"/>
        <w:autoSpaceDE/>
        <w:autoSpaceDN/>
        <w:bidi w:val="0"/>
        <w:adjustRightInd/>
        <w:snapToGrid w:val="0"/>
        <w:spacing w:line="560" w:lineRule="exact"/>
        <w:ind w:firstLine="56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注：“四通一平”：“四通”指宗地外通路、通电、通上水、通讯；“一平”是指宗地内场地平整。</w:t>
      </w:r>
    </w:p>
    <w:p>
      <w:pPr>
        <w:keepNext w:val="0"/>
        <w:keepLines w:val="0"/>
        <w:pageBreakBefore w:val="0"/>
        <w:widowControl w:val="0"/>
        <w:kinsoku/>
        <w:wordWrap/>
        <w:overflowPunct/>
        <w:topLinePunct w:val="0"/>
        <w:autoSpaceDE/>
        <w:autoSpaceDN/>
        <w:bidi w:val="0"/>
        <w:adjustRightInd/>
        <w:snapToGrid w:val="0"/>
        <w:spacing w:line="560" w:lineRule="exact"/>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四、基准地价表</w:t>
      </w:r>
    </w:p>
    <w:p>
      <w:pPr>
        <w:pStyle w:val="2"/>
        <w:keepNext w:val="0"/>
        <w:keepLines w:val="0"/>
        <w:pageBreakBefore w:val="0"/>
        <w:widowControl w:val="0"/>
        <w:kinsoku/>
        <w:wordWrap/>
        <w:overflowPunct/>
        <w:topLinePunct w:val="0"/>
        <w:autoSpaceDE/>
        <w:autoSpaceDN/>
        <w:bidi w:val="0"/>
        <w:adjustRightInd/>
        <w:snapToGrid/>
        <w:spacing w:before="157" w:beforeLines="50" w:after="0" w:line="240" w:lineRule="auto"/>
        <w:ind w:firstLine="0" w:firstLineChars="0"/>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eastAsia="zh-CN"/>
        </w:rPr>
        <w:t>表</w:t>
      </w:r>
      <w:r>
        <w:rPr>
          <w:rFonts w:hint="eastAsia" w:ascii="黑体" w:hAnsi="黑体" w:eastAsia="黑体" w:cs="黑体"/>
          <w:sz w:val="24"/>
          <w:szCs w:val="24"/>
          <w:lang w:val="en-US" w:eastAsia="zh-CN"/>
        </w:rPr>
        <w:t>2  宁陕县集体建设用地基准地价表</w:t>
      </w:r>
    </w:p>
    <w:tbl>
      <w:tblPr>
        <w:tblStyle w:val="5"/>
        <w:tblW w:w="836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83"/>
        <w:gridCol w:w="1433"/>
        <w:gridCol w:w="1174"/>
        <w:gridCol w:w="1204"/>
        <w:gridCol w:w="1141"/>
        <w:gridCol w:w="1395"/>
        <w:gridCol w:w="11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7" w:hRule="atLeast"/>
          <w:jc w:val="center"/>
        </w:trPr>
        <w:tc>
          <w:tcPr>
            <w:tcW w:w="883" w:type="dxa"/>
            <w:vMerge w:val="restart"/>
            <w:shd w:val="clear" w:color="auto" w:fill="auto"/>
            <w:vAlign w:val="center"/>
          </w:tcPr>
          <w:p>
            <w:pPr>
              <w:pStyle w:val="7"/>
              <w:rPr>
                <w:b/>
                <w:bCs/>
                <w:color w:val="auto"/>
                <w:sz w:val="24"/>
              </w:rPr>
            </w:pPr>
            <w:r>
              <w:rPr>
                <w:b/>
                <w:bCs/>
                <w:color w:val="auto"/>
                <w:sz w:val="24"/>
              </w:rPr>
              <w:t>级别</w:t>
            </w:r>
          </w:p>
        </w:tc>
        <w:tc>
          <w:tcPr>
            <w:tcW w:w="4952" w:type="dxa"/>
            <w:gridSpan w:val="4"/>
            <w:shd w:val="clear" w:color="auto" w:fill="auto"/>
            <w:vAlign w:val="center"/>
          </w:tcPr>
          <w:p>
            <w:pPr>
              <w:pStyle w:val="7"/>
              <w:rPr>
                <w:b/>
                <w:bCs/>
                <w:color w:val="auto"/>
                <w:sz w:val="24"/>
              </w:rPr>
            </w:pPr>
            <w:r>
              <w:rPr>
                <w:rFonts w:hint="eastAsia"/>
                <w:b/>
                <w:bCs/>
                <w:color w:val="auto"/>
                <w:sz w:val="24"/>
                <w:lang w:val="en-US" w:eastAsia="zh-CN"/>
              </w:rPr>
              <w:t>集体</w:t>
            </w:r>
            <w:r>
              <w:rPr>
                <w:b/>
                <w:bCs/>
                <w:color w:val="auto"/>
                <w:sz w:val="24"/>
              </w:rPr>
              <w:t>经营性建设用地</w:t>
            </w:r>
          </w:p>
        </w:tc>
        <w:tc>
          <w:tcPr>
            <w:tcW w:w="2527" w:type="dxa"/>
            <w:gridSpan w:val="2"/>
            <w:vMerge w:val="restart"/>
            <w:shd w:val="clear" w:color="auto" w:fill="auto"/>
            <w:vAlign w:val="center"/>
          </w:tcPr>
          <w:p>
            <w:pPr>
              <w:pStyle w:val="7"/>
              <w:rPr>
                <w:b/>
                <w:bCs/>
                <w:color w:val="auto"/>
                <w:sz w:val="24"/>
              </w:rPr>
            </w:pPr>
            <w:r>
              <w:rPr>
                <w:b/>
                <w:bCs/>
                <w:color w:val="auto"/>
                <w:sz w:val="24"/>
              </w:rPr>
              <w:t>宅基地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7" w:hRule="atLeast"/>
          <w:jc w:val="center"/>
        </w:trPr>
        <w:tc>
          <w:tcPr>
            <w:tcW w:w="883" w:type="dxa"/>
            <w:vMerge w:val="continue"/>
            <w:shd w:val="clear" w:color="auto" w:fill="auto"/>
            <w:vAlign w:val="center"/>
          </w:tcPr>
          <w:p>
            <w:pPr>
              <w:pStyle w:val="7"/>
              <w:rPr>
                <w:b/>
                <w:bCs/>
                <w:color w:val="auto"/>
                <w:sz w:val="24"/>
              </w:rPr>
            </w:pPr>
          </w:p>
        </w:tc>
        <w:tc>
          <w:tcPr>
            <w:tcW w:w="2607" w:type="dxa"/>
            <w:gridSpan w:val="2"/>
            <w:shd w:val="clear" w:color="auto" w:fill="auto"/>
            <w:vAlign w:val="center"/>
          </w:tcPr>
          <w:p>
            <w:pPr>
              <w:pStyle w:val="7"/>
              <w:rPr>
                <w:b/>
                <w:bCs/>
                <w:color w:val="auto"/>
                <w:sz w:val="24"/>
              </w:rPr>
            </w:pPr>
            <w:r>
              <w:rPr>
                <w:b/>
                <w:bCs/>
                <w:color w:val="auto"/>
                <w:sz w:val="24"/>
              </w:rPr>
              <w:t>商服用地</w:t>
            </w:r>
          </w:p>
        </w:tc>
        <w:tc>
          <w:tcPr>
            <w:tcW w:w="2345" w:type="dxa"/>
            <w:gridSpan w:val="2"/>
            <w:vAlign w:val="center"/>
          </w:tcPr>
          <w:p>
            <w:pPr>
              <w:pStyle w:val="7"/>
              <w:rPr>
                <w:b/>
                <w:bCs/>
                <w:color w:val="auto"/>
                <w:sz w:val="24"/>
              </w:rPr>
            </w:pPr>
            <w:r>
              <w:rPr>
                <w:b/>
                <w:bCs/>
                <w:color w:val="auto"/>
                <w:sz w:val="24"/>
              </w:rPr>
              <w:t>工业用地</w:t>
            </w:r>
          </w:p>
        </w:tc>
        <w:tc>
          <w:tcPr>
            <w:tcW w:w="2527" w:type="dxa"/>
            <w:gridSpan w:val="2"/>
            <w:vMerge w:val="continue"/>
            <w:shd w:val="clear" w:color="auto" w:fill="auto"/>
            <w:vAlign w:val="center"/>
          </w:tcPr>
          <w:p>
            <w:pPr>
              <w:pStyle w:val="7"/>
              <w:rPr>
                <w:b/>
                <w:bCs/>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7" w:hRule="atLeast"/>
          <w:jc w:val="center"/>
        </w:trPr>
        <w:tc>
          <w:tcPr>
            <w:tcW w:w="883" w:type="dxa"/>
            <w:vMerge w:val="continue"/>
            <w:shd w:val="clear" w:color="auto" w:fill="auto"/>
            <w:vAlign w:val="center"/>
          </w:tcPr>
          <w:p>
            <w:pPr>
              <w:pStyle w:val="7"/>
              <w:rPr>
                <w:b/>
                <w:bCs/>
                <w:color w:val="auto"/>
                <w:sz w:val="24"/>
              </w:rPr>
            </w:pPr>
          </w:p>
        </w:tc>
        <w:tc>
          <w:tcPr>
            <w:tcW w:w="1433" w:type="dxa"/>
            <w:shd w:val="clear" w:color="auto" w:fill="auto"/>
            <w:vAlign w:val="center"/>
          </w:tcPr>
          <w:p>
            <w:pPr>
              <w:pStyle w:val="7"/>
              <w:rPr>
                <w:b/>
                <w:bCs/>
                <w:color w:val="auto"/>
                <w:sz w:val="24"/>
              </w:rPr>
            </w:pPr>
            <w:r>
              <w:rPr>
                <w:b/>
                <w:bCs/>
                <w:color w:val="auto"/>
                <w:sz w:val="24"/>
              </w:rPr>
              <w:t>元/平方米</w:t>
            </w:r>
          </w:p>
        </w:tc>
        <w:tc>
          <w:tcPr>
            <w:tcW w:w="1174" w:type="dxa"/>
            <w:shd w:val="clear" w:color="auto" w:fill="auto"/>
            <w:vAlign w:val="center"/>
          </w:tcPr>
          <w:p>
            <w:pPr>
              <w:pStyle w:val="7"/>
              <w:rPr>
                <w:b/>
                <w:bCs/>
                <w:color w:val="auto"/>
                <w:sz w:val="24"/>
              </w:rPr>
            </w:pPr>
            <w:r>
              <w:rPr>
                <w:b/>
                <w:bCs/>
                <w:color w:val="auto"/>
                <w:sz w:val="24"/>
              </w:rPr>
              <w:t>万元/亩</w:t>
            </w:r>
          </w:p>
        </w:tc>
        <w:tc>
          <w:tcPr>
            <w:tcW w:w="1204" w:type="dxa"/>
            <w:vAlign w:val="center"/>
          </w:tcPr>
          <w:p>
            <w:pPr>
              <w:pStyle w:val="7"/>
              <w:rPr>
                <w:b/>
                <w:bCs/>
                <w:color w:val="auto"/>
                <w:sz w:val="24"/>
              </w:rPr>
            </w:pPr>
            <w:r>
              <w:rPr>
                <w:b/>
                <w:bCs/>
                <w:color w:val="auto"/>
                <w:sz w:val="24"/>
              </w:rPr>
              <w:t>元/平方米</w:t>
            </w:r>
          </w:p>
        </w:tc>
        <w:tc>
          <w:tcPr>
            <w:tcW w:w="1141" w:type="dxa"/>
            <w:vAlign w:val="center"/>
          </w:tcPr>
          <w:p>
            <w:pPr>
              <w:pStyle w:val="7"/>
              <w:rPr>
                <w:b/>
                <w:bCs/>
                <w:color w:val="auto"/>
                <w:sz w:val="24"/>
              </w:rPr>
            </w:pPr>
            <w:r>
              <w:rPr>
                <w:b/>
                <w:bCs/>
                <w:color w:val="auto"/>
                <w:sz w:val="24"/>
              </w:rPr>
              <w:t>万元/亩</w:t>
            </w:r>
          </w:p>
        </w:tc>
        <w:tc>
          <w:tcPr>
            <w:tcW w:w="1395" w:type="dxa"/>
            <w:shd w:val="clear" w:color="auto" w:fill="auto"/>
            <w:vAlign w:val="center"/>
          </w:tcPr>
          <w:p>
            <w:pPr>
              <w:pStyle w:val="7"/>
              <w:rPr>
                <w:b/>
                <w:bCs/>
                <w:color w:val="auto"/>
                <w:sz w:val="24"/>
              </w:rPr>
            </w:pPr>
            <w:r>
              <w:rPr>
                <w:b/>
                <w:bCs/>
                <w:color w:val="auto"/>
                <w:sz w:val="24"/>
              </w:rPr>
              <w:t>元/平方米</w:t>
            </w:r>
          </w:p>
        </w:tc>
        <w:tc>
          <w:tcPr>
            <w:tcW w:w="1132" w:type="dxa"/>
            <w:shd w:val="clear" w:color="auto" w:fill="auto"/>
            <w:vAlign w:val="center"/>
          </w:tcPr>
          <w:p>
            <w:pPr>
              <w:pStyle w:val="7"/>
              <w:rPr>
                <w:b/>
                <w:bCs/>
                <w:color w:val="auto"/>
                <w:sz w:val="24"/>
              </w:rPr>
            </w:pPr>
            <w:r>
              <w:rPr>
                <w:b/>
                <w:bCs/>
                <w:color w:val="auto"/>
                <w:sz w:val="24"/>
              </w:rPr>
              <w:t>万元/亩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7" w:hRule="atLeast"/>
          <w:jc w:val="center"/>
        </w:trPr>
        <w:tc>
          <w:tcPr>
            <w:tcW w:w="883" w:type="dxa"/>
            <w:shd w:val="clear" w:color="auto" w:fill="auto"/>
            <w:vAlign w:val="center"/>
          </w:tcPr>
          <w:p>
            <w:pPr>
              <w:pStyle w:val="7"/>
              <w:rPr>
                <w:color w:val="auto"/>
                <w:sz w:val="24"/>
              </w:rPr>
            </w:pPr>
            <w:r>
              <w:rPr>
                <w:color w:val="auto"/>
                <w:sz w:val="24"/>
              </w:rPr>
              <w:t>一级</w:t>
            </w:r>
          </w:p>
        </w:tc>
        <w:tc>
          <w:tcPr>
            <w:tcW w:w="1433" w:type="dxa"/>
            <w:shd w:val="clear" w:color="auto" w:fill="auto"/>
            <w:vAlign w:val="center"/>
          </w:tcPr>
          <w:p>
            <w:pPr>
              <w:pStyle w:val="8"/>
              <w:rPr>
                <w:color w:val="auto"/>
              </w:rPr>
            </w:pPr>
            <w:r>
              <w:rPr>
                <w:rFonts w:hint="eastAsia"/>
                <w:color w:val="auto"/>
              </w:rPr>
              <w:t>306</w:t>
            </w:r>
          </w:p>
        </w:tc>
        <w:tc>
          <w:tcPr>
            <w:tcW w:w="1174" w:type="dxa"/>
            <w:shd w:val="clear" w:color="auto" w:fill="auto"/>
            <w:vAlign w:val="center"/>
          </w:tcPr>
          <w:p>
            <w:pPr>
              <w:pStyle w:val="8"/>
              <w:rPr>
                <w:color w:val="auto"/>
              </w:rPr>
            </w:pPr>
            <w:r>
              <w:rPr>
                <w:rFonts w:hint="eastAsia"/>
                <w:color w:val="auto"/>
              </w:rPr>
              <w:t>20.4</w:t>
            </w:r>
          </w:p>
        </w:tc>
        <w:tc>
          <w:tcPr>
            <w:tcW w:w="1204" w:type="dxa"/>
            <w:vAlign w:val="center"/>
          </w:tcPr>
          <w:p>
            <w:pPr>
              <w:pStyle w:val="8"/>
              <w:rPr>
                <w:color w:val="auto"/>
              </w:rPr>
            </w:pPr>
            <w:r>
              <w:rPr>
                <w:rFonts w:hint="eastAsia"/>
                <w:color w:val="auto"/>
              </w:rPr>
              <w:t>213</w:t>
            </w:r>
          </w:p>
        </w:tc>
        <w:tc>
          <w:tcPr>
            <w:tcW w:w="1141" w:type="dxa"/>
            <w:vAlign w:val="center"/>
          </w:tcPr>
          <w:p>
            <w:pPr>
              <w:pStyle w:val="8"/>
              <w:rPr>
                <w:color w:val="auto"/>
              </w:rPr>
            </w:pPr>
            <w:r>
              <w:rPr>
                <w:rFonts w:hint="eastAsia"/>
                <w:color w:val="auto"/>
              </w:rPr>
              <w:t>14.2</w:t>
            </w:r>
          </w:p>
        </w:tc>
        <w:tc>
          <w:tcPr>
            <w:tcW w:w="1395" w:type="dxa"/>
            <w:shd w:val="clear" w:color="auto" w:fill="auto"/>
            <w:vAlign w:val="center"/>
          </w:tcPr>
          <w:p>
            <w:pPr>
              <w:pStyle w:val="8"/>
              <w:rPr>
                <w:color w:val="auto"/>
              </w:rPr>
            </w:pPr>
            <w:r>
              <w:rPr>
                <w:rFonts w:hint="eastAsia"/>
                <w:color w:val="auto"/>
              </w:rPr>
              <w:t>245</w:t>
            </w:r>
          </w:p>
        </w:tc>
        <w:tc>
          <w:tcPr>
            <w:tcW w:w="1132" w:type="dxa"/>
            <w:shd w:val="clear" w:color="auto" w:fill="auto"/>
            <w:vAlign w:val="center"/>
          </w:tcPr>
          <w:p>
            <w:pPr>
              <w:pStyle w:val="8"/>
              <w:rPr>
                <w:color w:val="auto"/>
              </w:rPr>
            </w:pPr>
            <w:r>
              <w:rPr>
                <w:rFonts w:hint="eastAsia"/>
                <w:color w:val="auto"/>
              </w:rPr>
              <w:t>16.33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7" w:hRule="atLeast"/>
          <w:jc w:val="center"/>
        </w:trPr>
        <w:tc>
          <w:tcPr>
            <w:tcW w:w="883" w:type="dxa"/>
            <w:shd w:val="clear" w:color="auto" w:fill="auto"/>
            <w:vAlign w:val="center"/>
          </w:tcPr>
          <w:p>
            <w:pPr>
              <w:pStyle w:val="7"/>
              <w:rPr>
                <w:color w:val="auto"/>
                <w:sz w:val="24"/>
              </w:rPr>
            </w:pPr>
            <w:r>
              <w:rPr>
                <w:color w:val="auto"/>
                <w:sz w:val="24"/>
              </w:rPr>
              <w:t>二级</w:t>
            </w:r>
          </w:p>
        </w:tc>
        <w:tc>
          <w:tcPr>
            <w:tcW w:w="1433" w:type="dxa"/>
            <w:shd w:val="clear" w:color="auto" w:fill="auto"/>
            <w:vAlign w:val="center"/>
          </w:tcPr>
          <w:p>
            <w:pPr>
              <w:pStyle w:val="8"/>
              <w:rPr>
                <w:color w:val="auto"/>
              </w:rPr>
            </w:pPr>
            <w:r>
              <w:rPr>
                <w:rFonts w:hint="eastAsia"/>
                <w:color w:val="auto"/>
              </w:rPr>
              <w:t>197</w:t>
            </w:r>
          </w:p>
        </w:tc>
        <w:tc>
          <w:tcPr>
            <w:tcW w:w="1174" w:type="dxa"/>
            <w:shd w:val="clear" w:color="auto" w:fill="auto"/>
            <w:vAlign w:val="center"/>
          </w:tcPr>
          <w:p>
            <w:pPr>
              <w:pStyle w:val="8"/>
              <w:rPr>
                <w:color w:val="auto"/>
              </w:rPr>
            </w:pPr>
            <w:r>
              <w:rPr>
                <w:rFonts w:hint="eastAsia"/>
                <w:color w:val="auto"/>
              </w:rPr>
              <w:t>13.13</w:t>
            </w:r>
          </w:p>
        </w:tc>
        <w:tc>
          <w:tcPr>
            <w:tcW w:w="1204" w:type="dxa"/>
            <w:vAlign w:val="center"/>
          </w:tcPr>
          <w:p>
            <w:pPr>
              <w:pStyle w:val="8"/>
              <w:rPr>
                <w:color w:val="auto"/>
              </w:rPr>
            </w:pPr>
            <w:r>
              <w:rPr>
                <w:rFonts w:hint="eastAsia"/>
                <w:color w:val="auto"/>
              </w:rPr>
              <w:t>153</w:t>
            </w:r>
          </w:p>
        </w:tc>
        <w:tc>
          <w:tcPr>
            <w:tcW w:w="1141" w:type="dxa"/>
            <w:vAlign w:val="center"/>
          </w:tcPr>
          <w:p>
            <w:pPr>
              <w:pStyle w:val="8"/>
              <w:rPr>
                <w:color w:val="auto"/>
              </w:rPr>
            </w:pPr>
            <w:r>
              <w:rPr>
                <w:rFonts w:hint="eastAsia"/>
                <w:color w:val="auto"/>
              </w:rPr>
              <w:t>10.2</w:t>
            </w:r>
          </w:p>
        </w:tc>
        <w:tc>
          <w:tcPr>
            <w:tcW w:w="1395" w:type="dxa"/>
            <w:shd w:val="clear" w:color="auto" w:fill="auto"/>
            <w:vAlign w:val="center"/>
          </w:tcPr>
          <w:p>
            <w:pPr>
              <w:pStyle w:val="8"/>
              <w:rPr>
                <w:color w:val="auto"/>
              </w:rPr>
            </w:pPr>
            <w:r>
              <w:rPr>
                <w:rFonts w:hint="eastAsia"/>
                <w:color w:val="auto"/>
              </w:rPr>
              <w:t>159</w:t>
            </w:r>
          </w:p>
        </w:tc>
        <w:tc>
          <w:tcPr>
            <w:tcW w:w="1132" w:type="dxa"/>
            <w:shd w:val="clear" w:color="auto" w:fill="auto"/>
            <w:vAlign w:val="center"/>
          </w:tcPr>
          <w:p>
            <w:pPr>
              <w:pStyle w:val="8"/>
              <w:rPr>
                <w:color w:val="auto"/>
              </w:rPr>
            </w:pPr>
            <w:r>
              <w:rPr>
                <w:rFonts w:hint="eastAsia"/>
                <w:color w:val="auto"/>
              </w:rPr>
              <w:t>10.6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7" w:hRule="atLeast"/>
          <w:jc w:val="center"/>
        </w:trPr>
        <w:tc>
          <w:tcPr>
            <w:tcW w:w="883" w:type="dxa"/>
            <w:shd w:val="clear" w:color="auto" w:fill="auto"/>
            <w:vAlign w:val="center"/>
          </w:tcPr>
          <w:p>
            <w:pPr>
              <w:pStyle w:val="7"/>
              <w:rPr>
                <w:color w:val="auto"/>
                <w:sz w:val="24"/>
              </w:rPr>
            </w:pPr>
            <w:r>
              <w:rPr>
                <w:color w:val="auto"/>
                <w:sz w:val="24"/>
              </w:rPr>
              <w:t>三级</w:t>
            </w:r>
          </w:p>
        </w:tc>
        <w:tc>
          <w:tcPr>
            <w:tcW w:w="1433" w:type="dxa"/>
            <w:shd w:val="clear" w:color="auto" w:fill="auto"/>
            <w:vAlign w:val="center"/>
          </w:tcPr>
          <w:p>
            <w:pPr>
              <w:pStyle w:val="8"/>
              <w:rPr>
                <w:color w:val="auto"/>
              </w:rPr>
            </w:pPr>
            <w:r>
              <w:rPr>
                <w:rFonts w:hint="eastAsia"/>
                <w:color w:val="auto"/>
              </w:rPr>
              <w:t>135</w:t>
            </w:r>
          </w:p>
        </w:tc>
        <w:tc>
          <w:tcPr>
            <w:tcW w:w="1174" w:type="dxa"/>
            <w:shd w:val="clear" w:color="auto" w:fill="auto"/>
            <w:vAlign w:val="center"/>
          </w:tcPr>
          <w:p>
            <w:pPr>
              <w:pStyle w:val="8"/>
              <w:rPr>
                <w:color w:val="auto"/>
              </w:rPr>
            </w:pPr>
            <w:r>
              <w:rPr>
                <w:rFonts w:hint="eastAsia"/>
                <w:color w:val="auto"/>
              </w:rPr>
              <w:t>9</w:t>
            </w:r>
          </w:p>
        </w:tc>
        <w:tc>
          <w:tcPr>
            <w:tcW w:w="1204" w:type="dxa"/>
            <w:vAlign w:val="center"/>
          </w:tcPr>
          <w:p>
            <w:pPr>
              <w:pStyle w:val="8"/>
              <w:rPr>
                <w:color w:val="auto"/>
              </w:rPr>
            </w:pPr>
            <w:r>
              <w:rPr>
                <w:rFonts w:hint="eastAsia"/>
                <w:color w:val="auto"/>
              </w:rPr>
              <w:t>111</w:t>
            </w:r>
          </w:p>
        </w:tc>
        <w:tc>
          <w:tcPr>
            <w:tcW w:w="1141" w:type="dxa"/>
            <w:vAlign w:val="center"/>
          </w:tcPr>
          <w:p>
            <w:pPr>
              <w:pStyle w:val="8"/>
              <w:rPr>
                <w:color w:val="auto"/>
              </w:rPr>
            </w:pPr>
            <w:r>
              <w:rPr>
                <w:rFonts w:hint="eastAsia"/>
                <w:color w:val="auto"/>
              </w:rPr>
              <w:t>7.4</w:t>
            </w:r>
          </w:p>
        </w:tc>
        <w:tc>
          <w:tcPr>
            <w:tcW w:w="1395" w:type="dxa"/>
            <w:shd w:val="clear" w:color="auto" w:fill="auto"/>
            <w:vAlign w:val="center"/>
          </w:tcPr>
          <w:p>
            <w:pPr>
              <w:pStyle w:val="8"/>
              <w:rPr>
                <w:color w:val="auto"/>
              </w:rPr>
            </w:pPr>
            <w:r>
              <w:rPr>
                <w:rFonts w:hint="eastAsia"/>
                <w:color w:val="auto"/>
              </w:rPr>
              <w:t>114</w:t>
            </w:r>
          </w:p>
        </w:tc>
        <w:tc>
          <w:tcPr>
            <w:tcW w:w="1132" w:type="dxa"/>
            <w:shd w:val="clear" w:color="auto" w:fill="auto"/>
            <w:vAlign w:val="center"/>
          </w:tcPr>
          <w:p>
            <w:pPr>
              <w:pStyle w:val="8"/>
              <w:rPr>
                <w:color w:val="auto"/>
              </w:rPr>
            </w:pPr>
            <w:r>
              <w:rPr>
                <w:rFonts w:hint="eastAsia"/>
                <w:color w:val="auto"/>
              </w:rPr>
              <w:t>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7" w:hRule="atLeast"/>
          <w:jc w:val="center"/>
        </w:trPr>
        <w:tc>
          <w:tcPr>
            <w:tcW w:w="883" w:type="dxa"/>
            <w:shd w:val="clear" w:color="auto" w:fill="auto"/>
            <w:vAlign w:val="center"/>
          </w:tcPr>
          <w:p>
            <w:pPr>
              <w:pStyle w:val="7"/>
              <w:rPr>
                <w:color w:val="auto"/>
                <w:sz w:val="24"/>
              </w:rPr>
            </w:pPr>
            <w:r>
              <w:rPr>
                <w:color w:val="auto"/>
                <w:sz w:val="24"/>
              </w:rPr>
              <w:t>四级</w:t>
            </w:r>
          </w:p>
        </w:tc>
        <w:tc>
          <w:tcPr>
            <w:tcW w:w="1433" w:type="dxa"/>
            <w:shd w:val="clear" w:color="auto" w:fill="auto"/>
            <w:vAlign w:val="center"/>
          </w:tcPr>
          <w:p>
            <w:pPr>
              <w:pStyle w:val="8"/>
              <w:rPr>
                <w:color w:val="auto"/>
              </w:rPr>
            </w:pPr>
            <w:r>
              <w:rPr>
                <w:rFonts w:hint="eastAsia"/>
                <w:color w:val="auto"/>
              </w:rPr>
              <w:t>93</w:t>
            </w:r>
          </w:p>
        </w:tc>
        <w:tc>
          <w:tcPr>
            <w:tcW w:w="1174" w:type="dxa"/>
            <w:shd w:val="clear" w:color="auto" w:fill="auto"/>
            <w:vAlign w:val="center"/>
          </w:tcPr>
          <w:p>
            <w:pPr>
              <w:pStyle w:val="8"/>
              <w:rPr>
                <w:color w:val="auto"/>
              </w:rPr>
            </w:pPr>
            <w:r>
              <w:rPr>
                <w:rFonts w:hint="eastAsia"/>
                <w:color w:val="auto"/>
              </w:rPr>
              <w:t>6.2</w:t>
            </w:r>
          </w:p>
        </w:tc>
        <w:tc>
          <w:tcPr>
            <w:tcW w:w="1204" w:type="dxa"/>
            <w:vAlign w:val="center"/>
          </w:tcPr>
          <w:p>
            <w:pPr>
              <w:pStyle w:val="8"/>
              <w:rPr>
                <w:color w:val="auto"/>
              </w:rPr>
            </w:pPr>
            <w:r>
              <w:rPr>
                <w:rFonts w:hint="eastAsia"/>
                <w:color w:val="auto"/>
              </w:rPr>
              <w:t>72</w:t>
            </w:r>
          </w:p>
        </w:tc>
        <w:tc>
          <w:tcPr>
            <w:tcW w:w="1141" w:type="dxa"/>
            <w:vAlign w:val="center"/>
          </w:tcPr>
          <w:p>
            <w:pPr>
              <w:pStyle w:val="8"/>
              <w:rPr>
                <w:color w:val="auto"/>
              </w:rPr>
            </w:pPr>
            <w:r>
              <w:rPr>
                <w:rFonts w:hint="eastAsia"/>
                <w:color w:val="auto"/>
              </w:rPr>
              <w:t>4.8</w:t>
            </w:r>
          </w:p>
        </w:tc>
        <w:tc>
          <w:tcPr>
            <w:tcW w:w="1395" w:type="dxa"/>
            <w:shd w:val="clear" w:color="auto" w:fill="auto"/>
            <w:vAlign w:val="center"/>
          </w:tcPr>
          <w:p>
            <w:pPr>
              <w:pStyle w:val="8"/>
              <w:rPr>
                <w:color w:val="auto"/>
              </w:rPr>
            </w:pPr>
            <w:r>
              <w:rPr>
                <w:rFonts w:hint="eastAsia"/>
                <w:color w:val="auto"/>
              </w:rPr>
              <w:t>72</w:t>
            </w:r>
          </w:p>
        </w:tc>
        <w:tc>
          <w:tcPr>
            <w:tcW w:w="1132" w:type="dxa"/>
            <w:shd w:val="clear" w:color="auto" w:fill="auto"/>
            <w:vAlign w:val="center"/>
          </w:tcPr>
          <w:p>
            <w:pPr>
              <w:pStyle w:val="8"/>
              <w:rPr>
                <w:color w:val="auto"/>
              </w:rPr>
            </w:pPr>
            <w:r>
              <w:rPr>
                <w:rFonts w:hint="eastAsia"/>
                <w:color w:val="auto"/>
              </w:rPr>
              <w:t>4.8</w:t>
            </w:r>
          </w:p>
        </w:tc>
      </w:tr>
    </w:tbl>
    <w:p>
      <w:pPr>
        <w:pStyle w:val="2"/>
        <w:ind w:firstLine="0" w:firstLineChars="0"/>
        <w:jc w:val="left"/>
        <w:rPr>
          <w:rFonts w:hint="eastAsia"/>
          <w:kern w:val="0"/>
          <w:sz w:val="24"/>
          <w:szCs w:val="24"/>
          <w:lang w:eastAsia="zh-CN"/>
        </w:rPr>
      </w:pPr>
    </w:p>
    <w:p/>
    <w:sectPr>
      <w:headerReference r:id="rId5"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3C5041"/>
    <w:rsid w:val="116603DA"/>
    <w:rsid w:val="3FAA0267"/>
    <w:rsid w:val="625F7DE2"/>
    <w:rsid w:val="6C385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963" w:firstLineChars="200"/>
      <w:jc w:val="both"/>
    </w:pPr>
    <w:rPr>
      <w:rFonts w:ascii="Times New Roman" w:hAnsi="Times New Roman" w:eastAsia="仿宋_GB2312" w:cs="Times New Roman"/>
      <w:kern w:val="2"/>
      <w:sz w:val="28"/>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semiHidden/>
    <w:unhideWhenUsed/>
    <w:qFormat/>
    <w:uiPriority w:val="99"/>
    <w:pPr>
      <w:spacing w:after="120"/>
    </w:pPr>
  </w:style>
  <w:style w:type="paragraph" w:styleId="3">
    <w:name w:val="footer"/>
    <w:basedOn w:val="1"/>
    <w:unhideWhenUsed/>
    <w:qFormat/>
    <w:uiPriority w:val="99"/>
    <w:pPr>
      <w:tabs>
        <w:tab w:val="center" w:pos="4153"/>
        <w:tab w:val="right" w:pos="8306"/>
      </w:tabs>
      <w:snapToGrid w:val="0"/>
      <w:spacing w:line="240" w:lineRule="auto"/>
      <w:ind w:firstLine="0" w:firstLineChars="0"/>
      <w:jc w:val="left"/>
    </w:pPr>
    <w:rPr>
      <w:rFonts w:asciiTheme="minorHAnsi" w:hAnsiTheme="minorHAnsi" w:eastAsiaTheme="minorEastAsia" w:cstheme="minorBidi"/>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spacing w:line="240" w:lineRule="auto"/>
      <w:ind w:firstLine="0" w:firstLineChars="0"/>
      <w:jc w:val="center"/>
    </w:pPr>
    <w:rPr>
      <w:rFonts w:asciiTheme="minorHAnsi" w:hAnsiTheme="minorHAnsi" w:eastAsiaTheme="minorEastAsia" w:cstheme="minorBidi"/>
      <w:sz w:val="18"/>
      <w:szCs w:val="18"/>
    </w:rPr>
  </w:style>
  <w:style w:type="paragraph" w:customStyle="1" w:styleId="7">
    <w:name w:val="图表"/>
    <w:basedOn w:val="1"/>
    <w:qFormat/>
    <w:uiPriority w:val="0"/>
    <w:pPr>
      <w:widowControl/>
      <w:spacing w:line="240" w:lineRule="atLeast"/>
      <w:ind w:firstLine="0" w:firstLineChars="0"/>
      <w:jc w:val="center"/>
    </w:pPr>
    <w:rPr>
      <w:rFonts w:cs="宋体"/>
      <w:color w:val="000000" w:themeColor="text1"/>
      <w:kern w:val="0"/>
      <w:sz w:val="21"/>
      <w14:textFill>
        <w14:solidFill>
          <w14:schemeClr w14:val="tx1"/>
        </w14:solidFill>
      </w14:textFill>
    </w:rPr>
  </w:style>
  <w:style w:type="paragraph" w:customStyle="1" w:styleId="8">
    <w:name w:val="0表格"/>
    <w:basedOn w:val="1"/>
    <w:qFormat/>
    <w:uiPriority w:val="0"/>
    <w:pPr>
      <w:spacing w:line="240" w:lineRule="atLeast"/>
      <w:ind w:firstLine="0" w:firstLineChars="0"/>
      <w:jc w:val="center"/>
    </w:pPr>
    <w:rPr>
      <w:color w:val="000000"/>
      <w:sz w:val="24"/>
      <w:lang w:val="zh-CN"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628</Words>
  <Characters>713</Characters>
  <Lines>0</Lines>
  <Paragraphs>0</Paragraphs>
  <TotalTime>5</TotalTime>
  <ScaleCrop>false</ScaleCrop>
  <LinksUpToDate>false</LinksUpToDate>
  <CharactersWithSpaces>717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2021-12-24T02:18:00Z</dcterms:created>
  <dc:creator>zky</dc:creator>
  <cp:lastModifiedBy>Administrator</cp:lastModifiedBy>
  <cp:lastPrinted>2022-01-10T07:31:00Z</cp:lastPrinted>
  <dcterms:modified xsi:type="dcterms:W3CDTF">2022-03-25T02:05:03Z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71019C8C0D22463D918F63EF21BA787A</vt:lpwstr>
  </property>
</Properties>
</file>